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DF4848">
      <w:pPr>
        <w:jc w:val="center"/>
        <w:rPr>
          <w:rFonts w:hint="eastAsia" w:ascii="宋体" w:hAnsi="宋体"/>
          <w:b/>
          <w:color w:val="auto"/>
          <w:sz w:val="72"/>
          <w:highlight w:val="none"/>
        </w:rPr>
      </w:pPr>
      <w:r>
        <w:rPr>
          <w:rFonts w:hint="eastAsia" w:ascii="宋体" w:hAnsi="宋体"/>
          <w:b/>
          <w:color w:val="auto"/>
          <w:sz w:val="72"/>
          <w:highlight w:val="none"/>
        </w:rPr>
        <w:t xml:space="preserve">厦 门 市 大 宗 货 物     </w:t>
      </w:r>
    </w:p>
    <w:p w14:paraId="10B4EEEB">
      <w:pPr>
        <w:jc w:val="center"/>
        <w:rPr>
          <w:rFonts w:hint="eastAsia" w:ascii="宋体" w:hAnsi="宋体"/>
          <w:b/>
          <w:color w:val="auto"/>
          <w:sz w:val="72"/>
          <w:highlight w:val="none"/>
        </w:rPr>
      </w:pPr>
      <w:r>
        <w:rPr>
          <w:rFonts w:hint="eastAsia" w:ascii="宋体" w:hAnsi="宋体"/>
          <w:b/>
          <w:color w:val="auto"/>
          <w:sz w:val="72"/>
          <w:highlight w:val="none"/>
        </w:rPr>
        <w:t>政 府 采 购</w:t>
      </w:r>
      <w:bookmarkStart w:id="3" w:name="_GoBack"/>
      <w:bookmarkEnd w:id="3"/>
      <w:r>
        <w:rPr>
          <w:rFonts w:hint="eastAsia" w:ascii="宋体" w:hAnsi="宋体"/>
          <w:b/>
          <w:color w:val="auto"/>
          <w:sz w:val="72"/>
          <w:highlight w:val="none"/>
        </w:rPr>
        <w:t xml:space="preserve"> 项 目 </w:t>
      </w:r>
    </w:p>
    <w:p w14:paraId="5794C896">
      <w:pPr>
        <w:spacing w:line="360" w:lineRule="auto"/>
        <w:jc w:val="center"/>
        <w:rPr>
          <w:rFonts w:hint="eastAsia" w:ascii="宋体" w:hAnsi="宋体"/>
          <w:b/>
          <w:color w:val="auto"/>
          <w:sz w:val="72"/>
          <w:highlight w:val="none"/>
        </w:rPr>
      </w:pPr>
      <w:r>
        <w:rPr>
          <w:rFonts w:hint="eastAsia" w:ascii="宋体" w:hAnsi="宋体"/>
          <w:b/>
          <w:color w:val="auto"/>
          <w:sz w:val="72"/>
          <w:highlight w:val="none"/>
        </w:rPr>
        <w:t>招   标   文   件</w:t>
      </w:r>
    </w:p>
    <w:p w14:paraId="4B113FA4">
      <w:pPr>
        <w:spacing w:line="360" w:lineRule="auto"/>
        <w:ind w:firstLine="1438" w:firstLineChars="398"/>
        <w:rPr>
          <w:rFonts w:hint="eastAsia" w:ascii="宋体" w:hAnsi="宋体"/>
          <w:b/>
          <w:color w:val="auto"/>
          <w:sz w:val="36"/>
          <w:highlight w:val="none"/>
        </w:rPr>
      </w:pPr>
    </w:p>
    <w:p w14:paraId="36AF0899">
      <w:pPr>
        <w:spacing w:line="360" w:lineRule="auto"/>
        <w:ind w:firstLine="1438" w:firstLineChars="398"/>
        <w:rPr>
          <w:rFonts w:hint="eastAsia" w:ascii="宋体" w:hAnsi="宋体"/>
          <w:b/>
          <w:color w:val="auto"/>
          <w:sz w:val="36"/>
          <w:highlight w:val="none"/>
        </w:rPr>
      </w:pPr>
    </w:p>
    <w:p w14:paraId="48B9520A">
      <w:pPr>
        <w:spacing w:line="360" w:lineRule="auto"/>
        <w:ind w:firstLine="1438" w:firstLineChars="398"/>
        <w:rPr>
          <w:rFonts w:hint="eastAsia" w:ascii="宋体" w:hAnsi="宋体"/>
          <w:b/>
          <w:color w:val="auto"/>
          <w:sz w:val="36"/>
          <w:highlight w:val="none"/>
        </w:rPr>
      </w:pPr>
    </w:p>
    <w:p w14:paraId="1A9D64B5">
      <w:pPr>
        <w:spacing w:line="360" w:lineRule="auto"/>
        <w:ind w:firstLine="1438" w:firstLineChars="398"/>
        <w:rPr>
          <w:rFonts w:hint="eastAsia" w:ascii="宋体" w:hAnsi="宋体"/>
          <w:b/>
          <w:color w:val="auto"/>
          <w:sz w:val="36"/>
          <w:highlight w:val="none"/>
        </w:rPr>
      </w:pPr>
    </w:p>
    <w:p w14:paraId="77B0A818">
      <w:pPr>
        <w:spacing w:line="360" w:lineRule="auto"/>
        <w:ind w:firstLine="1438" w:firstLineChars="398"/>
        <w:rPr>
          <w:rFonts w:hint="eastAsia" w:ascii="宋体" w:hAnsi="宋体"/>
          <w:b/>
          <w:color w:val="auto"/>
          <w:sz w:val="36"/>
          <w:highlight w:val="none"/>
          <w:u w:val="single"/>
        </w:rPr>
      </w:pPr>
      <w:r>
        <w:rPr>
          <w:rFonts w:hint="eastAsia" w:ascii="宋体" w:hAnsi="宋体"/>
          <w:b/>
          <w:color w:val="auto"/>
          <w:sz w:val="36"/>
          <w:highlight w:val="none"/>
        </w:rPr>
        <w:t>招 标 编 号：</w:t>
      </w:r>
      <w:r>
        <w:rPr>
          <w:rFonts w:hint="eastAsia" w:ascii="宋体" w:hAnsi="宋体"/>
          <w:b/>
          <w:color w:val="auto"/>
          <w:sz w:val="36"/>
          <w:highlight w:val="none"/>
          <w:u w:val="single"/>
        </w:rPr>
        <w:t>XM2026-DZ0001</w:t>
      </w:r>
    </w:p>
    <w:p w14:paraId="6F9F5589">
      <w:pPr>
        <w:spacing w:line="360" w:lineRule="auto"/>
        <w:ind w:left="3948" w:leftChars="684" w:hanging="2512" w:hangingChars="695"/>
        <w:rPr>
          <w:rFonts w:hint="eastAsia" w:ascii="宋体" w:hAnsi="宋体"/>
          <w:b/>
          <w:color w:val="auto"/>
          <w:sz w:val="36"/>
          <w:highlight w:val="none"/>
          <w:u w:val="single"/>
        </w:rPr>
      </w:pPr>
      <w:r>
        <w:rPr>
          <w:rFonts w:hint="eastAsia" w:ascii="宋体" w:hAnsi="宋体"/>
          <w:b/>
          <w:color w:val="auto"/>
          <w:sz w:val="36"/>
          <w:highlight w:val="none"/>
        </w:rPr>
        <w:t>项 目 名 称：厦门理工学院六期学生公寓家具</w:t>
      </w:r>
    </w:p>
    <w:p w14:paraId="7481E9D8">
      <w:pPr>
        <w:spacing w:line="360" w:lineRule="auto"/>
        <w:ind w:firstLine="1438" w:firstLineChars="398"/>
        <w:rPr>
          <w:rFonts w:hint="eastAsia" w:ascii="宋体" w:hAnsi="宋体"/>
          <w:b/>
          <w:color w:val="auto"/>
          <w:sz w:val="36"/>
          <w:highlight w:val="none"/>
        </w:rPr>
      </w:pPr>
    </w:p>
    <w:p w14:paraId="58E442DE">
      <w:pPr>
        <w:spacing w:line="360" w:lineRule="auto"/>
        <w:ind w:firstLine="1438" w:firstLineChars="398"/>
        <w:rPr>
          <w:rFonts w:hint="eastAsia" w:ascii="宋体" w:hAnsi="宋体"/>
          <w:b/>
          <w:color w:val="auto"/>
          <w:sz w:val="36"/>
          <w:highlight w:val="none"/>
        </w:rPr>
      </w:pPr>
    </w:p>
    <w:p w14:paraId="4CB8F328">
      <w:pPr>
        <w:spacing w:line="360" w:lineRule="auto"/>
        <w:ind w:firstLine="1438" w:firstLineChars="398"/>
        <w:rPr>
          <w:rFonts w:hint="eastAsia" w:ascii="宋体" w:hAnsi="宋体"/>
          <w:b/>
          <w:color w:val="auto"/>
          <w:sz w:val="36"/>
          <w:highlight w:val="none"/>
        </w:rPr>
      </w:pPr>
    </w:p>
    <w:p w14:paraId="3E715B88">
      <w:pPr>
        <w:spacing w:line="360" w:lineRule="auto"/>
        <w:ind w:firstLine="1438" w:firstLineChars="398"/>
        <w:rPr>
          <w:rFonts w:hint="eastAsia" w:ascii="宋体" w:hAnsi="宋体"/>
          <w:b/>
          <w:color w:val="auto"/>
          <w:sz w:val="36"/>
          <w:highlight w:val="none"/>
        </w:rPr>
      </w:pPr>
    </w:p>
    <w:p w14:paraId="61DC2188">
      <w:pPr>
        <w:spacing w:line="360" w:lineRule="auto"/>
        <w:ind w:firstLine="1438" w:firstLineChars="398"/>
        <w:rPr>
          <w:rFonts w:hint="eastAsia" w:ascii="宋体" w:hAnsi="宋体"/>
          <w:b/>
          <w:color w:val="auto"/>
          <w:sz w:val="36"/>
          <w:highlight w:val="none"/>
        </w:rPr>
      </w:pPr>
    </w:p>
    <w:p w14:paraId="1C28B05E">
      <w:pPr>
        <w:pStyle w:val="7"/>
        <w:ind w:firstLine="1445" w:firstLineChars="400"/>
        <w:jc w:val="left"/>
        <w:rPr>
          <w:rFonts w:hint="eastAsia" w:hAnsi="宋体" w:cs="宋体"/>
          <w:b/>
          <w:color w:val="auto"/>
          <w:spacing w:val="20"/>
          <w:sz w:val="32"/>
          <w:highlight w:val="none"/>
        </w:rPr>
      </w:pPr>
      <w:r>
        <w:rPr>
          <w:rFonts w:hint="eastAsia" w:hAnsi="宋体" w:cs="宋体"/>
          <w:b/>
          <w:color w:val="auto"/>
          <w:spacing w:val="20"/>
          <w:sz w:val="32"/>
          <w:highlight w:val="none"/>
        </w:rPr>
        <w:t>使用单位：厦门理工学院</w:t>
      </w:r>
    </w:p>
    <w:p w14:paraId="60873514">
      <w:pPr>
        <w:pStyle w:val="7"/>
        <w:ind w:firstLine="1438" w:firstLineChars="398"/>
        <w:jc w:val="left"/>
        <w:rPr>
          <w:rFonts w:hint="eastAsia" w:hAnsi="宋体" w:cs="宋体"/>
          <w:b/>
          <w:bCs/>
          <w:color w:val="auto"/>
          <w:sz w:val="32"/>
          <w:highlight w:val="none"/>
          <w:u w:val="single"/>
        </w:rPr>
      </w:pPr>
      <w:r>
        <w:rPr>
          <w:rFonts w:hint="eastAsia" w:hAnsi="宋体" w:cs="宋体"/>
          <w:b/>
          <w:color w:val="auto"/>
          <w:spacing w:val="20"/>
          <w:sz w:val="32"/>
          <w:highlight w:val="none"/>
        </w:rPr>
        <w:t>采购单位：</w:t>
      </w:r>
      <w:r>
        <w:rPr>
          <w:rFonts w:hint="eastAsia" w:hAnsi="宋体" w:cs="宋体"/>
          <w:b/>
          <w:bCs/>
          <w:color w:val="auto"/>
          <w:sz w:val="32"/>
          <w:highlight w:val="none"/>
        </w:rPr>
        <w:t>厦门万翔网络商务有限公司</w:t>
      </w:r>
    </w:p>
    <w:p w14:paraId="2C0FBFEA">
      <w:pPr>
        <w:pStyle w:val="7"/>
        <w:spacing w:line="360" w:lineRule="auto"/>
        <w:ind w:firstLine="1438" w:firstLineChars="398"/>
        <w:jc w:val="left"/>
        <w:rPr>
          <w:rFonts w:hint="eastAsia" w:hAnsi="宋体"/>
          <w:b/>
          <w:color w:val="auto"/>
          <w:sz w:val="28"/>
          <w:highlight w:val="none"/>
        </w:rPr>
      </w:pPr>
      <w:r>
        <w:rPr>
          <w:rFonts w:hint="eastAsia" w:hAnsi="宋体"/>
          <w:b/>
          <w:color w:val="auto"/>
          <w:spacing w:val="20"/>
          <w:sz w:val="32"/>
          <w:highlight w:val="none"/>
        </w:rPr>
        <w:t>招标代理机构：</w:t>
      </w:r>
      <w:r>
        <w:rPr>
          <w:rFonts w:hint="eastAsia" w:hAnsi="宋体"/>
          <w:b/>
          <w:bCs/>
          <w:color w:val="auto"/>
          <w:sz w:val="32"/>
          <w:highlight w:val="none"/>
        </w:rPr>
        <w:t>厦门万翔招标有限公司</w:t>
      </w:r>
      <w:r>
        <w:rPr>
          <w:rFonts w:hint="eastAsia" w:hAnsi="宋体"/>
          <w:b/>
          <w:color w:val="auto"/>
          <w:spacing w:val="20"/>
          <w:sz w:val="32"/>
          <w:highlight w:val="none"/>
        </w:rPr>
        <w:t xml:space="preserve"> </w:t>
      </w:r>
    </w:p>
    <w:p w14:paraId="58184E33">
      <w:pPr>
        <w:spacing w:line="360" w:lineRule="auto"/>
        <w:ind w:firstLine="1438" w:firstLineChars="398"/>
        <w:rPr>
          <w:rFonts w:hint="eastAsia" w:ascii="宋体" w:hAnsi="宋体"/>
          <w:b/>
          <w:color w:val="auto"/>
          <w:sz w:val="36"/>
          <w:highlight w:val="none"/>
        </w:rPr>
      </w:pPr>
    </w:p>
    <w:p w14:paraId="409D9909">
      <w:pPr>
        <w:pStyle w:val="7"/>
        <w:spacing w:line="360" w:lineRule="auto"/>
        <w:jc w:val="center"/>
        <w:outlineLvl w:val="0"/>
        <w:rPr>
          <w:rFonts w:hint="eastAsia" w:hAnsi="宋体"/>
          <w:b/>
          <w:color w:val="auto"/>
          <w:sz w:val="32"/>
          <w:highlight w:val="none"/>
        </w:rPr>
      </w:pPr>
      <w:r>
        <w:rPr>
          <w:rFonts w:hint="eastAsia" w:hAnsi="宋体"/>
          <w:b/>
          <w:color w:val="auto"/>
          <w:sz w:val="32"/>
          <w:highlight w:val="none"/>
        </w:rPr>
        <w:t>202</w:t>
      </w:r>
      <w:r>
        <w:rPr>
          <w:rFonts w:hint="eastAsia" w:hAnsi="宋体"/>
          <w:b/>
          <w:color w:val="auto"/>
          <w:sz w:val="32"/>
          <w:highlight w:val="none"/>
          <w:lang w:val="en-US" w:eastAsia="zh-CN"/>
        </w:rPr>
        <w:t>6</w:t>
      </w:r>
      <w:r>
        <w:rPr>
          <w:rFonts w:hint="eastAsia" w:hAnsi="宋体"/>
          <w:b/>
          <w:color w:val="auto"/>
          <w:sz w:val="32"/>
          <w:highlight w:val="none"/>
        </w:rPr>
        <w:t>年</w:t>
      </w:r>
    </w:p>
    <w:p w14:paraId="2FBB28D0">
      <w:pPr>
        <w:pStyle w:val="7"/>
        <w:spacing w:line="360" w:lineRule="auto"/>
        <w:jc w:val="center"/>
        <w:outlineLvl w:val="0"/>
        <w:rPr>
          <w:rFonts w:hint="eastAsia" w:hAnsi="宋体"/>
          <w:b/>
          <w:color w:val="auto"/>
          <w:sz w:val="32"/>
          <w:highlight w:val="none"/>
        </w:rPr>
      </w:pPr>
    </w:p>
    <w:p w14:paraId="3FF0209F">
      <w:pPr>
        <w:pStyle w:val="7"/>
        <w:spacing w:line="360" w:lineRule="auto"/>
        <w:jc w:val="center"/>
        <w:outlineLvl w:val="0"/>
        <w:rPr>
          <w:rFonts w:hint="eastAsia" w:hAnsi="宋体"/>
          <w:b/>
          <w:color w:val="auto"/>
          <w:sz w:val="32"/>
          <w:highlight w:val="none"/>
        </w:rPr>
      </w:pPr>
    </w:p>
    <w:p w14:paraId="6E5E7163">
      <w:pPr>
        <w:jc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关于政府采购信用贷款的提示</w:t>
      </w:r>
    </w:p>
    <w:p w14:paraId="06E81093">
      <w:pPr>
        <w:jc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（201608版）</w:t>
      </w:r>
    </w:p>
    <w:p w14:paraId="51631367">
      <w:pPr>
        <w:rPr>
          <w:rFonts w:hint="eastAsia" w:ascii="宋体" w:hAnsi="宋体" w:cs="宋体"/>
          <w:color w:val="auto"/>
          <w:sz w:val="24"/>
          <w:szCs w:val="24"/>
          <w:highlight w:val="none"/>
        </w:rPr>
      </w:pPr>
    </w:p>
    <w:p w14:paraId="66A1718E">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政府采购项目中标（成交）供应商(若为中小企业)可申请政府采购信用贷款，即中标（成交）供应商可凭中标（成交）通知书向以下金融机构申请政府采购信用融资贷款，由专业担保机构提供担保，或由保险公司为融资提供保险。供应商在参加本项目时，即可与支持政府采购信用贷款的金融机构联系，咨询办理政府采购信用贷款的具体事宜。</w:t>
      </w:r>
    </w:p>
    <w:p w14:paraId="361E2E10">
      <w:pPr>
        <w:spacing w:line="360" w:lineRule="auto"/>
        <w:ind w:firstLine="482" w:firstLineChars="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 xml:space="preserve">有关金融机构联系方式： </w:t>
      </w:r>
    </w:p>
    <w:p w14:paraId="1DAFEB5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（一）中国建设银行厦门分行：</w:t>
      </w:r>
    </w:p>
    <w:p w14:paraId="2FE0CF42">
      <w:pP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联系人：魏慧媛   2158595 </w:t>
      </w:r>
    </w:p>
    <w:p w14:paraId="7C6015D4">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（二）中国光大银行厦门分行：</w:t>
      </w:r>
    </w:p>
    <w:p w14:paraId="4F37B862">
      <w:pP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联系人：陈  虹   2283776、13806013400；朱姗姗   2991131、18050082825</w:t>
      </w:r>
    </w:p>
    <w:p w14:paraId="0661E7E5">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（三）兴业银行厦门分行</w:t>
      </w:r>
    </w:p>
    <w:p w14:paraId="0C8F9D86">
      <w:pP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联系人：陈小姐  0592-5312509 13599531245 ；高经理  0592-5312350 13850017508 </w:t>
      </w:r>
    </w:p>
    <w:p w14:paraId="67A8C655">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（四）厦门市担保有限公司：</w:t>
      </w:r>
    </w:p>
    <w:p w14:paraId="7D717DAF">
      <w:pP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联系人：陈文辉   5125116；吴龙辉   5120019</w:t>
      </w:r>
    </w:p>
    <w:p w14:paraId="746BE25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（五）厦门银行股份有限公司 </w:t>
      </w:r>
    </w:p>
    <w:p w14:paraId="37696A91">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联系人：张冬梅 13395990009 ；陈韵 13656021986</w:t>
      </w:r>
    </w:p>
    <w:p w14:paraId="1777036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以上具体贷款事项，以贷款机构与贷款人最终签订的贷款合同约定为准，贷款人应进一步与贷款金融机构了解详细情况。任何单位和个人均不得干预银企双方开展政府采购信用贷款业务。</w:t>
      </w:r>
    </w:p>
    <w:p w14:paraId="454988D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本提示仅作为信息告知，具体贷款事宜以银行等有关金融机构审批为准。</w:t>
      </w:r>
    </w:p>
    <w:p w14:paraId="2B34FA5D">
      <w:pPr>
        <w:spacing w:line="360" w:lineRule="auto"/>
        <w:ind w:firstLine="480" w:firstLineChars="200"/>
        <w:rPr>
          <w:rFonts w:hint="eastAsia" w:ascii="宋体" w:hAnsi="宋体" w:cs="宋体"/>
          <w:color w:val="auto"/>
          <w:sz w:val="24"/>
          <w:szCs w:val="24"/>
          <w:highlight w:val="none"/>
        </w:rPr>
      </w:pPr>
    </w:p>
    <w:p w14:paraId="70864533">
      <w:pPr>
        <w:spacing w:line="360" w:lineRule="auto"/>
        <w:ind w:firstLine="480" w:firstLineChars="200"/>
        <w:rPr>
          <w:rFonts w:hint="eastAsia" w:ascii="宋体" w:hAnsi="宋体" w:cs="宋体"/>
          <w:color w:val="auto"/>
          <w:sz w:val="24"/>
          <w:szCs w:val="24"/>
          <w:highlight w:val="none"/>
        </w:rPr>
      </w:pPr>
    </w:p>
    <w:p w14:paraId="7518C2FE">
      <w:pPr>
        <w:spacing w:line="360" w:lineRule="auto"/>
        <w:ind w:firstLine="480" w:firstLineChars="200"/>
        <w:rPr>
          <w:rFonts w:hint="eastAsia" w:ascii="宋体" w:hAnsi="宋体" w:cs="宋体"/>
          <w:color w:val="auto"/>
          <w:sz w:val="24"/>
          <w:szCs w:val="24"/>
          <w:highlight w:val="none"/>
        </w:rPr>
      </w:pPr>
    </w:p>
    <w:p w14:paraId="1F3C566A">
      <w:pPr>
        <w:spacing w:line="360" w:lineRule="auto"/>
        <w:ind w:firstLine="480" w:firstLineChars="200"/>
        <w:rPr>
          <w:rFonts w:hint="eastAsia" w:ascii="宋体" w:hAnsi="宋体" w:cs="宋体"/>
          <w:color w:val="auto"/>
          <w:sz w:val="24"/>
          <w:szCs w:val="24"/>
          <w:highlight w:val="none"/>
        </w:rPr>
      </w:pPr>
    </w:p>
    <w:p w14:paraId="2FDA4732">
      <w:pPr>
        <w:spacing w:line="360" w:lineRule="auto"/>
        <w:rPr>
          <w:rFonts w:hint="eastAsia" w:ascii="宋体" w:hAnsi="宋体" w:cs="宋体"/>
          <w:color w:val="auto"/>
          <w:sz w:val="24"/>
          <w:szCs w:val="24"/>
          <w:highlight w:val="none"/>
        </w:rPr>
      </w:pPr>
    </w:p>
    <w:p w14:paraId="23E88780">
      <w:pPr>
        <w:pStyle w:val="7"/>
        <w:spacing w:line="360" w:lineRule="auto"/>
        <w:jc w:val="center"/>
        <w:outlineLvl w:val="0"/>
        <w:rPr>
          <w:rFonts w:hint="eastAsia" w:hAnsi="宋体" w:cs="宋体"/>
          <w:b/>
          <w:bCs/>
          <w:color w:val="auto"/>
          <w:sz w:val="32"/>
          <w:szCs w:val="32"/>
          <w:highlight w:val="none"/>
        </w:rPr>
      </w:pPr>
      <w:r>
        <w:rPr>
          <w:rFonts w:hint="eastAsia" w:hAnsi="宋体" w:cs="宋体"/>
          <w:b/>
          <w:bCs/>
          <w:color w:val="auto"/>
          <w:sz w:val="32"/>
          <w:szCs w:val="32"/>
          <w:highlight w:val="none"/>
        </w:rPr>
        <w:t xml:space="preserve">  目   录</w:t>
      </w:r>
    </w:p>
    <w:p w14:paraId="44DCA71D">
      <w:pPr>
        <w:pStyle w:val="3"/>
        <w:snapToGrid w:val="0"/>
        <w:spacing w:line="360" w:lineRule="auto"/>
        <w:ind w:firstLine="0"/>
        <w:rPr>
          <w:rFonts w:hint="eastAsia" w:ascii="宋体" w:hAnsi="宋体" w:cs="宋体"/>
          <w:color w:val="auto"/>
          <w:sz w:val="24"/>
          <w:szCs w:val="24"/>
          <w:highlight w:val="none"/>
        </w:rPr>
      </w:pPr>
    </w:p>
    <w:p w14:paraId="0B9DAAF1">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第一章    投标邀请 …………………………………………………1</w:t>
      </w:r>
    </w:p>
    <w:p w14:paraId="1EA2D7DB">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投标邀请函……………………………………………………1-1</w:t>
      </w:r>
    </w:p>
    <w:p w14:paraId="39658FE1">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第二章    投标人须知  ……………………………………………2</w:t>
      </w:r>
    </w:p>
    <w:p w14:paraId="75E4D479">
      <w:pPr>
        <w:spacing w:line="360" w:lineRule="auto"/>
        <w:ind w:firstLine="240" w:firstLineChars="100"/>
        <w:rPr>
          <w:rFonts w:hint="eastAsia" w:ascii="宋体" w:hAnsi="宋体" w:cs="宋体"/>
          <w:bCs/>
          <w:color w:val="auto"/>
          <w:sz w:val="24"/>
          <w:szCs w:val="24"/>
          <w:highlight w:val="none"/>
        </w:rPr>
      </w:pPr>
      <w:r>
        <w:rPr>
          <w:rFonts w:hint="eastAsia" w:ascii="宋体" w:hAnsi="宋体" w:cs="宋体"/>
          <w:bCs/>
          <w:color w:val="auto"/>
          <w:sz w:val="24"/>
          <w:szCs w:val="24"/>
          <w:highlight w:val="none"/>
        </w:rPr>
        <w:t xml:space="preserve">投标人须知前附表1、2、3、4 </w:t>
      </w:r>
      <w:r>
        <w:rPr>
          <w:rFonts w:hint="eastAsia" w:ascii="宋体" w:hAnsi="宋体" w:cs="宋体"/>
          <w:color w:val="auto"/>
          <w:sz w:val="24"/>
          <w:szCs w:val="24"/>
          <w:highlight w:val="none"/>
        </w:rPr>
        <w:t>……………………………………2-1-1</w:t>
      </w:r>
    </w:p>
    <w:p w14:paraId="593772A4">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一、 说明 ………………………………………………………2-2-1</w:t>
      </w:r>
    </w:p>
    <w:p w14:paraId="28457C0E">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二、 招标文件 ………………………………………………2-2-4</w:t>
      </w:r>
    </w:p>
    <w:p w14:paraId="55B5BCD8">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三、 投标文件的编写 ………………………………………2-2-5</w:t>
      </w:r>
    </w:p>
    <w:p w14:paraId="46F6275F">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四、 投标文件的提交 …………………………………………2-2-8</w:t>
      </w:r>
    </w:p>
    <w:p w14:paraId="5EBF1F97">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五、 投标文件的评估和比较 …………………………………2-2-9</w:t>
      </w:r>
    </w:p>
    <w:p w14:paraId="3BA83AF9">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六、 定标与签订合同…………………………………………2-2-12</w:t>
      </w:r>
    </w:p>
    <w:p w14:paraId="7AD5C56F">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七、 意外情况的处理  ……………………………………  2-2-15</w:t>
      </w:r>
    </w:p>
    <w:p w14:paraId="5794D388">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第三章    招标内容及要求  ……………………………………3-1</w:t>
      </w:r>
    </w:p>
    <w:p w14:paraId="463C8FDA">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第四章    政府采购货物买卖合同（试行）……………………4-1</w:t>
      </w:r>
    </w:p>
    <w:p w14:paraId="7320E79F">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第五章    投标文件格式 …………………………………………5-1</w:t>
      </w:r>
    </w:p>
    <w:p w14:paraId="4A590413">
      <w:pPr>
        <w:pStyle w:val="3"/>
        <w:spacing w:line="360" w:lineRule="auto"/>
        <w:ind w:firstLine="2250" w:firstLineChars="934"/>
        <w:rPr>
          <w:rFonts w:hint="eastAsia" w:ascii="宋体" w:hAnsi="宋体" w:cs="宋体"/>
          <w:b/>
          <w:color w:val="auto"/>
          <w:sz w:val="24"/>
          <w:szCs w:val="24"/>
          <w:highlight w:val="none"/>
          <w:u w:val="single"/>
        </w:rPr>
        <w:sectPr>
          <w:footerReference r:id="rId5" w:type="first"/>
          <w:headerReference r:id="rId3" w:type="default"/>
          <w:footerReference r:id="rId4" w:type="default"/>
          <w:pgSz w:w="11906" w:h="16838"/>
          <w:pgMar w:top="1440" w:right="1800" w:bottom="1440" w:left="1800" w:header="851" w:footer="992" w:gutter="0"/>
          <w:cols w:space="720" w:num="1"/>
          <w:docGrid w:type="lines" w:linePitch="312" w:charSpace="0"/>
        </w:sectPr>
      </w:pPr>
    </w:p>
    <w:p w14:paraId="63762927">
      <w:pPr>
        <w:pStyle w:val="18"/>
        <w:spacing w:line="360" w:lineRule="auto"/>
        <w:jc w:val="center"/>
        <w:rPr>
          <w:rFonts w:hint="eastAsia" w:hAnsi="宋体" w:cs="宋体"/>
          <w:b/>
          <w:bCs/>
          <w:color w:val="auto"/>
          <w:sz w:val="32"/>
          <w:szCs w:val="32"/>
          <w:highlight w:val="none"/>
        </w:rPr>
      </w:pPr>
      <w:r>
        <w:rPr>
          <w:rFonts w:hint="eastAsia" w:hAnsi="宋体" w:cs="宋体"/>
          <w:b/>
          <w:color w:val="auto"/>
          <w:sz w:val="32"/>
          <w:szCs w:val="32"/>
          <w:highlight w:val="none"/>
        </w:rPr>
        <w:t>第一章  投标邀请函</w:t>
      </w:r>
    </w:p>
    <w:p w14:paraId="46B9101A">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受【</w:t>
      </w:r>
      <w:r>
        <w:rPr>
          <w:rFonts w:hint="eastAsia" w:ascii="宋体" w:hAnsi="宋体" w:cs="宋体"/>
          <w:b/>
          <w:color w:val="auto"/>
          <w:sz w:val="24"/>
          <w:szCs w:val="24"/>
          <w:highlight w:val="none"/>
          <w:u w:val="single"/>
        </w:rPr>
        <w:t>厦门万翔网络商务有限公司】</w:t>
      </w:r>
      <w:r>
        <w:rPr>
          <w:rFonts w:hint="eastAsia" w:ascii="宋体" w:hAnsi="宋体" w:cs="宋体"/>
          <w:color w:val="auto"/>
          <w:sz w:val="24"/>
          <w:szCs w:val="24"/>
          <w:highlight w:val="none"/>
        </w:rPr>
        <w:t>委托，</w:t>
      </w:r>
      <w:r>
        <w:rPr>
          <w:rFonts w:hint="eastAsia" w:ascii="宋体" w:hAnsi="宋体" w:cs="宋体"/>
          <w:b/>
          <w:color w:val="auto"/>
          <w:sz w:val="24"/>
          <w:szCs w:val="24"/>
          <w:highlight w:val="none"/>
          <w:u w:val="single"/>
        </w:rPr>
        <w:t>厦门万翔招标有限公司</w:t>
      </w:r>
      <w:r>
        <w:rPr>
          <w:rFonts w:hint="eastAsia" w:ascii="宋体" w:hAnsi="宋体" w:cs="宋体"/>
          <w:color w:val="auto"/>
          <w:sz w:val="24"/>
          <w:szCs w:val="24"/>
          <w:highlight w:val="none"/>
        </w:rPr>
        <w:t>对【</w:t>
      </w:r>
      <w:r>
        <w:rPr>
          <w:rFonts w:hint="eastAsia" w:ascii="宋体" w:hAnsi="宋体" w:cs="宋体"/>
          <w:color w:val="auto"/>
          <w:sz w:val="24"/>
          <w:szCs w:val="24"/>
          <w:highlight w:val="none"/>
          <w:u w:val="single"/>
        </w:rPr>
        <w:t>厦门理工学院家具采购】</w:t>
      </w:r>
      <w:r>
        <w:rPr>
          <w:rFonts w:hint="eastAsia" w:ascii="宋体" w:hAnsi="宋体" w:cs="宋体"/>
          <w:color w:val="auto"/>
          <w:sz w:val="24"/>
          <w:szCs w:val="24"/>
          <w:highlight w:val="none"/>
        </w:rPr>
        <w:t>货物（或服务）进行国内公开招标，现欢迎国内合格的投标人前来投标。</w:t>
      </w:r>
    </w:p>
    <w:p w14:paraId="0BAF492C">
      <w:pPr>
        <w:spacing w:line="360" w:lineRule="auto"/>
        <w:ind w:firstLine="480" w:firstLineChars="200"/>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1、招标编号：XM2026-DZ0001</w:t>
      </w:r>
      <w:r>
        <w:rPr>
          <w:rFonts w:hint="eastAsia" w:ascii="宋体" w:hAnsi="宋体" w:cs="宋体"/>
          <w:color w:val="auto"/>
          <w:sz w:val="24"/>
          <w:szCs w:val="24"/>
          <w:highlight w:val="none"/>
          <w:u w:val="single"/>
        </w:rPr>
        <w:t>。</w:t>
      </w:r>
    </w:p>
    <w:p w14:paraId="30AA4E80">
      <w:pPr>
        <w:spacing w:line="360" w:lineRule="auto"/>
        <w:ind w:firstLine="424" w:firstLineChars="200"/>
        <w:rPr>
          <w:rFonts w:hint="eastAsia" w:ascii="宋体" w:hAnsi="宋体" w:cs="宋体"/>
          <w:color w:val="auto"/>
          <w:spacing w:val="-14"/>
          <w:sz w:val="24"/>
          <w:szCs w:val="24"/>
          <w:highlight w:val="none"/>
        </w:rPr>
      </w:pPr>
      <w:r>
        <w:rPr>
          <w:rFonts w:hint="eastAsia" w:ascii="宋体" w:hAnsi="宋体" w:cs="宋体"/>
          <w:color w:val="auto"/>
          <w:spacing w:val="-14"/>
          <w:sz w:val="24"/>
          <w:szCs w:val="24"/>
          <w:highlight w:val="none"/>
        </w:rPr>
        <w:t>2、招标货物（服务）名称、数量及主要技术规格：见后</w:t>
      </w:r>
      <w:r>
        <w:rPr>
          <w:rFonts w:hint="eastAsia" w:ascii="宋体" w:hAnsi="宋体" w:cs="宋体"/>
          <w:color w:val="auto"/>
          <w:sz w:val="24"/>
          <w:szCs w:val="24"/>
          <w:highlight w:val="none"/>
        </w:rPr>
        <w:t>附招标货物（</w:t>
      </w:r>
      <w:r>
        <w:rPr>
          <w:rFonts w:hint="eastAsia" w:ascii="宋体" w:hAnsi="宋体" w:cs="宋体"/>
          <w:color w:val="auto"/>
          <w:spacing w:val="-14"/>
          <w:sz w:val="24"/>
          <w:szCs w:val="24"/>
          <w:highlight w:val="none"/>
        </w:rPr>
        <w:t>服务）</w:t>
      </w:r>
      <w:r>
        <w:rPr>
          <w:rFonts w:hint="eastAsia" w:ascii="宋体" w:hAnsi="宋体" w:cs="宋体"/>
          <w:color w:val="auto"/>
          <w:sz w:val="24"/>
          <w:szCs w:val="24"/>
          <w:highlight w:val="none"/>
        </w:rPr>
        <w:t>一览表。</w:t>
      </w:r>
    </w:p>
    <w:p w14:paraId="0EABCD3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3、招标文件获取方式：</w:t>
      </w:r>
      <w:r>
        <w:rPr>
          <w:rFonts w:hint="eastAsia" w:ascii="宋体" w:hAnsi="宋体" w:cs="宋体"/>
          <w:bCs/>
          <w:color w:val="auto"/>
          <w:sz w:val="24"/>
          <w:szCs w:val="24"/>
          <w:highlight w:val="none"/>
        </w:rPr>
        <w:t>202</w:t>
      </w:r>
      <w:r>
        <w:rPr>
          <w:rFonts w:hint="eastAsia" w:ascii="宋体" w:hAnsi="宋体" w:cs="宋体"/>
          <w:bCs/>
          <w:color w:val="auto"/>
          <w:sz w:val="24"/>
          <w:szCs w:val="24"/>
          <w:highlight w:val="none"/>
          <w:lang w:val="en-US" w:eastAsia="zh-CN"/>
        </w:rPr>
        <w:t>6</w:t>
      </w:r>
      <w:r>
        <w:rPr>
          <w:rFonts w:hint="eastAsia" w:ascii="宋体" w:hAnsi="宋体" w:cs="宋体"/>
          <w:bCs/>
          <w:color w:val="auto"/>
          <w:sz w:val="24"/>
          <w:szCs w:val="24"/>
          <w:highlight w:val="none"/>
        </w:rPr>
        <w:t>年</w:t>
      </w:r>
      <w:r>
        <w:rPr>
          <w:rFonts w:hint="eastAsia" w:ascii="宋体" w:hAnsi="宋体" w:cs="宋体"/>
          <w:bCs/>
          <w:color w:val="auto"/>
          <w:sz w:val="24"/>
          <w:szCs w:val="24"/>
          <w:highlight w:val="none"/>
          <w:lang w:val="en-US" w:eastAsia="zh-CN"/>
        </w:rPr>
        <w:t>2</w:t>
      </w:r>
      <w:r>
        <w:rPr>
          <w:rFonts w:hint="eastAsia" w:ascii="宋体" w:hAnsi="宋体" w:cs="宋体"/>
          <w:color w:val="auto"/>
          <w:sz w:val="24"/>
          <w:szCs w:val="24"/>
          <w:highlight w:val="none"/>
        </w:rPr>
        <w:t>月</w:t>
      </w:r>
      <w:r>
        <w:rPr>
          <w:rFonts w:hint="eastAsia" w:ascii="宋体" w:hAnsi="宋体" w:cs="宋体"/>
          <w:color w:val="auto"/>
          <w:sz w:val="24"/>
          <w:szCs w:val="24"/>
          <w:highlight w:val="none"/>
          <w:lang w:val="en-US" w:eastAsia="zh-CN"/>
        </w:rPr>
        <w:t>14</w:t>
      </w:r>
      <w:r>
        <w:rPr>
          <w:rFonts w:hint="eastAsia" w:ascii="宋体" w:hAnsi="宋体" w:cs="宋体"/>
          <w:color w:val="auto"/>
          <w:sz w:val="24"/>
          <w:szCs w:val="24"/>
          <w:highlight w:val="none"/>
        </w:rPr>
        <w:t>日至202</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rPr>
        <w:t>年</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月</w:t>
      </w:r>
      <w:r>
        <w:rPr>
          <w:rFonts w:hint="eastAsia" w:ascii="宋体" w:hAnsi="宋体" w:cs="宋体"/>
          <w:color w:val="auto"/>
          <w:sz w:val="24"/>
          <w:szCs w:val="24"/>
          <w:highlight w:val="none"/>
          <w:lang w:val="en-US" w:eastAsia="zh-CN"/>
        </w:rPr>
        <w:t>28</w:t>
      </w:r>
      <w:r>
        <w:rPr>
          <w:rFonts w:hint="eastAsia" w:ascii="宋体" w:hAnsi="宋体" w:cs="宋体"/>
          <w:color w:val="auto"/>
          <w:sz w:val="24"/>
          <w:szCs w:val="24"/>
          <w:highlight w:val="none"/>
        </w:rPr>
        <w:t>日，有意向的供应商应在厦门招投标网（http:// www.xmztb.com，下同）注册账号，登录后可免费在线浏览招标文件，完成缴费并下载招标文件后方具备投标资格。缴费仅支持在线扫码支付。</w:t>
      </w:r>
    </w:p>
    <w:p w14:paraId="04C0F23C">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A、供应商注册详见厦门招投标网－办事指南－操作手册—《供应商注册登记操作手册》</w:t>
      </w:r>
    </w:p>
    <w:p w14:paraId="2E3BC6F2">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B、缴费及下载招标文件详见厦门招投标网－办事指南－操作手册—《供应商招标项目操作手册》</w:t>
      </w:r>
    </w:p>
    <w:p w14:paraId="70C4042B">
      <w:pPr>
        <w:pStyle w:val="7"/>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rPr>
        <w:t>4、招标文件售价：每个合同包</w:t>
      </w:r>
      <w:r>
        <w:rPr>
          <w:rFonts w:hint="eastAsia" w:hAnsi="宋体" w:cs="宋体"/>
          <w:color w:val="auto"/>
          <w:sz w:val="24"/>
          <w:szCs w:val="24"/>
          <w:highlight w:val="none"/>
          <w:u w:val="single"/>
        </w:rPr>
        <w:t xml:space="preserve"> 0 </w:t>
      </w:r>
      <w:r>
        <w:rPr>
          <w:rFonts w:hint="eastAsia" w:hAnsi="宋体" w:cs="宋体"/>
          <w:color w:val="auto"/>
          <w:sz w:val="24"/>
          <w:szCs w:val="24"/>
          <w:highlight w:val="none"/>
        </w:rPr>
        <w:t>元人民币，售后不退。</w:t>
      </w:r>
    </w:p>
    <w:p w14:paraId="6BE287C2">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5、投标截止时间：投标文件应于202</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rPr>
        <w:t>年</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月</w:t>
      </w:r>
      <w:r>
        <w:rPr>
          <w:rFonts w:hint="eastAsia" w:ascii="宋体" w:hAnsi="宋体" w:cs="宋体"/>
          <w:color w:val="auto"/>
          <w:sz w:val="24"/>
          <w:szCs w:val="24"/>
          <w:highlight w:val="none"/>
          <w:lang w:val="en-US" w:eastAsia="zh-CN"/>
        </w:rPr>
        <w:t>9</w:t>
      </w:r>
      <w:r>
        <w:rPr>
          <w:rFonts w:hint="eastAsia" w:ascii="宋体" w:hAnsi="宋体" w:cs="宋体"/>
          <w:color w:val="auto"/>
          <w:sz w:val="24"/>
          <w:szCs w:val="24"/>
          <w:highlight w:val="none"/>
        </w:rPr>
        <w:t>日</w:t>
      </w:r>
      <w:r>
        <w:rPr>
          <w:rFonts w:hint="eastAsia" w:ascii="宋体" w:hAnsi="宋体" w:cs="宋体"/>
          <w:color w:val="auto"/>
          <w:sz w:val="24"/>
          <w:szCs w:val="24"/>
          <w:highlight w:val="none"/>
          <w:lang w:val="en-US" w:eastAsia="zh-CN"/>
        </w:rPr>
        <w:t>下</w:t>
      </w:r>
      <w:r>
        <w:rPr>
          <w:rFonts w:hint="eastAsia" w:ascii="宋体" w:hAnsi="宋体" w:cs="宋体"/>
          <w:color w:val="auto"/>
          <w:sz w:val="24"/>
          <w:szCs w:val="24"/>
          <w:highlight w:val="none"/>
        </w:rPr>
        <w:t>午</w:t>
      </w:r>
      <w:r>
        <w:rPr>
          <w:rFonts w:hint="eastAsia" w:ascii="宋体" w:hAnsi="宋体" w:cs="宋体"/>
          <w:color w:val="auto"/>
          <w:sz w:val="24"/>
          <w:szCs w:val="24"/>
          <w:highlight w:val="none"/>
          <w:lang w:val="en-US" w:eastAsia="zh-CN"/>
        </w:rPr>
        <w:t>13</w:t>
      </w:r>
      <w:r>
        <w:rPr>
          <w:rFonts w:hint="eastAsia" w:ascii="宋体" w:hAnsi="宋体" w:cs="宋体"/>
          <w:color w:val="auto"/>
          <w:sz w:val="24"/>
          <w:szCs w:val="24"/>
          <w:highlight w:val="none"/>
        </w:rPr>
        <w:t>：</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0（北京时间）之前登录厦门招投标网上传投标文件。已上传但未提示上传成功的投标无效。</w:t>
      </w:r>
    </w:p>
    <w:p w14:paraId="14CA44B7">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A、网上投标详见厦门招投标网－办事指南－操作手册—《供应商招标项目操作手册》。</w:t>
      </w:r>
    </w:p>
    <w:p w14:paraId="798908EC">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shd w:val="clear" w:color="auto" w:fill="FFFFFF"/>
        </w:rPr>
        <w:t>B</w:t>
      </w:r>
      <w:r>
        <w:rPr>
          <w:rFonts w:hint="eastAsia" w:ascii="宋体" w:hAnsi="宋体" w:cs="宋体"/>
          <w:color w:val="auto"/>
          <w:sz w:val="24"/>
          <w:szCs w:val="24"/>
          <w:highlight w:val="none"/>
        </w:rPr>
        <w:t>、</w:t>
      </w:r>
      <w:r>
        <w:rPr>
          <w:rStyle w:val="16"/>
          <w:rFonts w:ascii="Helvetica" w:hAnsi="Helvetica" w:eastAsia="Helvetica" w:cs="Helvetica"/>
          <w:b w:val="0"/>
          <w:bCs w:val="0"/>
          <w:color w:val="auto"/>
          <w:sz w:val="24"/>
          <w:szCs w:val="24"/>
          <w:highlight w:val="none"/>
          <w:shd w:val="clear" w:color="auto" w:fill="FFFFFF"/>
        </w:rPr>
        <w:t>数字证书办理</w:t>
      </w:r>
      <w:r>
        <w:rPr>
          <w:rStyle w:val="16"/>
          <w:rFonts w:hint="eastAsia" w:ascii="Helvetica" w:hAnsi="Helvetica" w:cs="Helvetica"/>
          <w:b w:val="0"/>
          <w:bCs w:val="0"/>
          <w:color w:val="auto"/>
          <w:sz w:val="24"/>
          <w:szCs w:val="24"/>
          <w:highlight w:val="none"/>
          <w:shd w:val="clear" w:color="auto" w:fill="FFFFFF"/>
        </w:rPr>
        <w:t>详见</w:t>
      </w:r>
      <w:r>
        <w:rPr>
          <w:rFonts w:hint="eastAsia" w:ascii="宋体" w:hAnsi="宋体" w:cs="宋体"/>
          <w:color w:val="auto"/>
          <w:sz w:val="24"/>
          <w:szCs w:val="24"/>
          <w:highlight w:val="none"/>
        </w:rPr>
        <w:t>厦门招投标网－办事指南－操作手册—《投标流程》</w:t>
      </w:r>
    </w:p>
    <w:p w14:paraId="65F91DA5">
      <w:pPr>
        <w:spacing w:line="360" w:lineRule="auto"/>
        <w:ind w:firstLine="360" w:firstLineChars="150"/>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rPr>
        <w:t>6、开标时间: 202</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rPr>
        <w:t>年</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月</w:t>
      </w:r>
      <w:r>
        <w:rPr>
          <w:rFonts w:hint="eastAsia" w:ascii="宋体" w:hAnsi="宋体" w:cs="宋体"/>
          <w:color w:val="auto"/>
          <w:sz w:val="24"/>
          <w:szCs w:val="24"/>
          <w:highlight w:val="none"/>
          <w:lang w:val="en-US" w:eastAsia="zh-CN"/>
        </w:rPr>
        <w:t>9</w:t>
      </w:r>
      <w:r>
        <w:rPr>
          <w:rFonts w:hint="eastAsia" w:ascii="宋体" w:hAnsi="宋体" w:cs="宋体"/>
          <w:color w:val="auto"/>
          <w:sz w:val="24"/>
          <w:szCs w:val="24"/>
          <w:highlight w:val="none"/>
        </w:rPr>
        <w:t>日</w:t>
      </w:r>
      <w:r>
        <w:rPr>
          <w:rFonts w:hint="eastAsia" w:ascii="宋体" w:hAnsi="宋体" w:cs="宋体"/>
          <w:color w:val="auto"/>
          <w:sz w:val="24"/>
          <w:szCs w:val="24"/>
          <w:highlight w:val="none"/>
          <w:lang w:val="en-US" w:eastAsia="zh-CN"/>
        </w:rPr>
        <w:t>下</w:t>
      </w:r>
      <w:r>
        <w:rPr>
          <w:rFonts w:hint="eastAsia" w:ascii="宋体" w:hAnsi="宋体" w:cs="宋体"/>
          <w:color w:val="auto"/>
          <w:sz w:val="24"/>
          <w:szCs w:val="24"/>
          <w:highlight w:val="none"/>
        </w:rPr>
        <w:t>午</w:t>
      </w:r>
      <w:r>
        <w:rPr>
          <w:rFonts w:hint="eastAsia" w:ascii="宋体" w:hAnsi="宋体" w:cs="宋体"/>
          <w:color w:val="auto"/>
          <w:sz w:val="24"/>
          <w:szCs w:val="24"/>
          <w:highlight w:val="none"/>
          <w:lang w:val="en-US" w:eastAsia="zh-CN"/>
        </w:rPr>
        <w:t>13</w:t>
      </w:r>
      <w:r>
        <w:rPr>
          <w:rFonts w:hint="eastAsia" w:ascii="宋体" w:hAnsi="宋体" w:cs="宋体"/>
          <w:color w:val="auto"/>
          <w:sz w:val="24"/>
          <w:szCs w:val="24"/>
          <w:highlight w:val="none"/>
        </w:rPr>
        <w:t>：</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0（北京时间）于厦门招投标网进行公开开标。投标人可登陆厦门招投标网查看开标全过程。</w:t>
      </w:r>
      <w:r>
        <w:rPr>
          <w:rFonts w:hint="eastAsia" w:ascii="宋体" w:hAnsi="宋体" w:cs="宋体"/>
          <w:color w:val="auto"/>
          <w:sz w:val="24"/>
          <w:szCs w:val="24"/>
          <w:highlight w:val="none"/>
          <w:lang w:val="en-US" w:eastAsia="zh-CN"/>
        </w:rPr>
        <w:t>开标地点：</w:t>
      </w:r>
      <w:r>
        <w:rPr>
          <w:rFonts w:hint="eastAsia" w:ascii="宋体" w:hAnsi="宋体" w:cs="宋体"/>
          <w:b/>
          <w:color w:val="auto"/>
          <w:sz w:val="24"/>
          <w:szCs w:val="24"/>
          <w:highlight w:val="none"/>
          <w:u w:val="single"/>
        </w:rPr>
        <w:t>厦门市湖里区云顶北路842号厦门市行政服务中心4楼</w:t>
      </w:r>
      <w:r>
        <w:rPr>
          <w:rFonts w:hint="default" w:ascii="宋体" w:hAnsi="宋体" w:cs="宋体"/>
          <w:b/>
          <w:color w:val="auto"/>
          <w:sz w:val="24"/>
          <w:szCs w:val="24"/>
          <w:highlight w:val="none"/>
          <w:u w:val="single"/>
        </w:rPr>
        <w:t>C</w:t>
      </w:r>
      <w:r>
        <w:rPr>
          <w:rFonts w:hint="eastAsia" w:ascii="宋体" w:hAnsi="宋体" w:cs="宋体"/>
          <w:b/>
          <w:color w:val="auto"/>
          <w:sz w:val="24"/>
          <w:szCs w:val="24"/>
          <w:highlight w:val="none"/>
          <w:u w:val="single"/>
        </w:rPr>
        <w:t>区开标室</w:t>
      </w:r>
      <w:r>
        <w:rPr>
          <w:rFonts w:hint="eastAsia" w:ascii="宋体" w:hAnsi="宋体" w:cs="宋体"/>
          <w:b/>
          <w:color w:val="auto"/>
          <w:sz w:val="24"/>
          <w:szCs w:val="24"/>
          <w:highlight w:val="none"/>
          <w:u w:val="single"/>
          <w:lang w:val="en-US" w:eastAsia="zh-CN"/>
        </w:rPr>
        <w:t>7</w:t>
      </w:r>
      <w:r>
        <w:rPr>
          <w:rFonts w:hint="eastAsia" w:ascii="宋体" w:hAnsi="宋体" w:cs="宋体"/>
          <w:b/>
          <w:color w:val="auto"/>
          <w:sz w:val="24"/>
          <w:szCs w:val="24"/>
          <w:highlight w:val="none"/>
          <w:u w:val="single"/>
        </w:rPr>
        <w:t>（C40</w:t>
      </w:r>
      <w:r>
        <w:rPr>
          <w:rFonts w:hint="eastAsia" w:ascii="宋体" w:hAnsi="宋体" w:cs="宋体"/>
          <w:b/>
          <w:color w:val="auto"/>
          <w:sz w:val="24"/>
          <w:szCs w:val="24"/>
          <w:highlight w:val="none"/>
          <w:u w:val="single"/>
          <w:lang w:val="en-US" w:eastAsia="zh-CN"/>
        </w:rPr>
        <w:t>6</w:t>
      </w:r>
      <w:r>
        <w:rPr>
          <w:rFonts w:hint="eastAsia" w:ascii="宋体" w:hAnsi="宋体" w:cs="宋体"/>
          <w:b/>
          <w:color w:val="auto"/>
          <w:sz w:val="24"/>
          <w:szCs w:val="24"/>
          <w:highlight w:val="none"/>
          <w:u w:val="single"/>
        </w:rPr>
        <w:t>）</w:t>
      </w:r>
      <w:r>
        <w:rPr>
          <w:rFonts w:hint="eastAsia" w:ascii="宋体" w:hAnsi="宋体" w:cs="宋体"/>
          <w:b/>
          <w:color w:val="auto"/>
          <w:sz w:val="24"/>
          <w:szCs w:val="24"/>
          <w:highlight w:val="none"/>
          <w:u w:val="single"/>
          <w:lang w:eastAsia="zh-CN"/>
        </w:rPr>
        <w:t>。</w:t>
      </w:r>
    </w:p>
    <w:p w14:paraId="385F7199">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7、本项目（不接受）联合体投标。</w:t>
      </w:r>
    </w:p>
    <w:p w14:paraId="3F07645B">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A、接受联合体投标且投标人为联合体的，全部联合体组成成员都应在厦门招投标网注册账号。</w:t>
      </w:r>
    </w:p>
    <w:p w14:paraId="7068391B">
      <w:pPr>
        <w:spacing w:line="360" w:lineRule="auto"/>
        <w:ind w:firstLine="360" w:firstLineChars="150"/>
        <w:rPr>
          <w:rFonts w:hint="eastAsia" w:ascii="宋体" w:hAnsi="宋体" w:cs="宋体"/>
          <w:bCs/>
          <w:color w:val="auto"/>
          <w:sz w:val="24"/>
          <w:szCs w:val="24"/>
          <w:highlight w:val="none"/>
        </w:rPr>
      </w:pPr>
      <w:r>
        <w:rPr>
          <w:rFonts w:hint="eastAsia" w:ascii="宋体" w:hAnsi="宋体" w:cs="宋体"/>
          <w:color w:val="auto"/>
          <w:sz w:val="24"/>
          <w:szCs w:val="24"/>
          <w:highlight w:val="none"/>
        </w:rPr>
        <w:t>B、接受联合体投标且投标人为联合体的，投标人应由“联合体牵头方”完成系统设定的具体操作流程（包括但不限于：招标文件获取、提交投标保证金、编制电子投标文件等）。</w:t>
      </w:r>
    </w:p>
    <w:p w14:paraId="18F8D740">
      <w:pPr>
        <w:spacing w:line="360" w:lineRule="auto"/>
        <w:ind w:firstLine="360" w:firstLineChars="150"/>
        <w:rPr>
          <w:rFonts w:hint="eastAsia" w:ascii="宋体" w:hAnsi="宋体" w:cs="宋体"/>
          <w:color w:val="auto"/>
          <w:sz w:val="24"/>
          <w:szCs w:val="24"/>
          <w:highlight w:val="none"/>
        </w:rPr>
      </w:pPr>
      <w:r>
        <w:rPr>
          <w:rFonts w:hint="eastAsia" w:ascii="宋体" w:hAnsi="宋体" w:cs="宋体"/>
          <w:bCs/>
          <w:color w:val="auto"/>
          <w:sz w:val="24"/>
          <w:szCs w:val="24"/>
          <w:highlight w:val="none"/>
        </w:rPr>
        <w:t>8、招标文件如有变更，</w:t>
      </w:r>
      <w:r>
        <w:rPr>
          <w:rFonts w:hint="eastAsia" w:ascii="宋体" w:hAnsi="宋体" w:cs="宋体"/>
          <w:b/>
          <w:color w:val="auto"/>
          <w:sz w:val="24"/>
          <w:szCs w:val="24"/>
          <w:highlight w:val="none"/>
          <w:u w:val="single"/>
        </w:rPr>
        <w:t>厦门万翔招标有限公司</w:t>
      </w:r>
      <w:r>
        <w:rPr>
          <w:rFonts w:hint="eastAsia" w:ascii="宋体" w:hAnsi="宋体" w:cs="宋体"/>
          <w:bCs/>
          <w:color w:val="auto"/>
          <w:sz w:val="24"/>
          <w:szCs w:val="24"/>
          <w:highlight w:val="none"/>
        </w:rPr>
        <w:t>将通过福建省政府采购网、厦门招投标网等媒体发布通知信息，请投标人关注。</w:t>
      </w:r>
      <w:r>
        <w:rPr>
          <w:rFonts w:hint="eastAsia" w:ascii="宋体" w:hAnsi="宋体" w:cs="宋体"/>
          <w:color w:val="auto"/>
          <w:sz w:val="24"/>
          <w:szCs w:val="24"/>
          <w:highlight w:val="none"/>
        </w:rPr>
        <w:t>（请投标人在网上下载招标文件时，必须提供准确的电子邮箱、传真以及联系方式，电子网络系统将会自动发送相关信息，投标人收到相关信息后请回复确认）。</w:t>
      </w:r>
    </w:p>
    <w:p w14:paraId="257F3CBE">
      <w:pPr>
        <w:spacing w:line="360" w:lineRule="auto"/>
        <w:ind w:firstLine="361" w:firstLineChars="150"/>
        <w:rPr>
          <w:rFonts w:hint="eastAsia" w:ascii="宋体" w:hAnsi="宋体" w:cs="宋体"/>
          <w:b/>
          <w:color w:val="auto"/>
          <w:sz w:val="24"/>
          <w:szCs w:val="24"/>
          <w:highlight w:val="none"/>
        </w:rPr>
      </w:pPr>
      <w:r>
        <w:rPr>
          <w:rFonts w:hint="eastAsia" w:ascii="宋体" w:hAnsi="宋体" w:cs="宋体"/>
          <w:b/>
          <w:color w:val="auto"/>
          <w:sz w:val="24"/>
          <w:szCs w:val="24"/>
          <w:highlight w:val="none"/>
        </w:rPr>
        <w:t>9、友情提醒：本项目全程采用网上招、投标方式进行采购，请各投标人必须按照有关规定要求在网上注册、</w:t>
      </w:r>
      <w:r>
        <w:rPr>
          <w:rStyle w:val="16"/>
          <w:rFonts w:ascii="Helvetica" w:hAnsi="Helvetica" w:eastAsia="Helvetica" w:cs="Helvetica"/>
          <w:color w:val="auto"/>
          <w:sz w:val="24"/>
          <w:szCs w:val="24"/>
          <w:highlight w:val="none"/>
          <w:shd w:val="clear" w:color="auto" w:fill="FFFFFF"/>
        </w:rPr>
        <w:t>需办理数字证书</w:t>
      </w:r>
      <w:r>
        <w:rPr>
          <w:rStyle w:val="16"/>
          <w:rFonts w:hint="eastAsia" w:ascii="Helvetica" w:hAnsi="Helvetica" w:cs="Helvetica"/>
          <w:color w:val="auto"/>
          <w:sz w:val="24"/>
          <w:szCs w:val="24"/>
          <w:highlight w:val="none"/>
          <w:shd w:val="clear" w:color="auto" w:fill="FFFFFF"/>
        </w:rPr>
        <w:t>、</w:t>
      </w:r>
      <w:r>
        <w:rPr>
          <w:rFonts w:hint="eastAsia" w:ascii="宋体" w:hAnsi="宋体" w:cs="宋体"/>
          <w:b/>
          <w:color w:val="auto"/>
          <w:sz w:val="24"/>
          <w:szCs w:val="24"/>
          <w:highlight w:val="none"/>
        </w:rPr>
        <w:t>购买招标文件和递交投标文件。</w:t>
      </w:r>
    </w:p>
    <w:p w14:paraId="6BF8D1C1">
      <w:pPr>
        <w:spacing w:line="360" w:lineRule="auto"/>
        <w:ind w:firstLine="360" w:firstLineChars="150"/>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10、投标人对本次招标活动事项提出疑问的，请在投标截止时间十五日之前，登录厦门招投标网与招标代理机构联系。来函请加盖单位公章，并提供联系人、联系电话及传真号码。</w:t>
      </w:r>
    </w:p>
    <w:p w14:paraId="442F9577">
      <w:pPr>
        <w:tabs>
          <w:tab w:val="left" w:pos="1140"/>
        </w:tabs>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11、各有关联系方式</w:t>
      </w:r>
    </w:p>
    <w:tbl>
      <w:tblPr>
        <w:tblStyle w:val="13"/>
        <w:tblW w:w="988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14"/>
        <w:gridCol w:w="1409"/>
        <w:gridCol w:w="1097"/>
        <w:gridCol w:w="3190"/>
        <w:gridCol w:w="3276"/>
      </w:tblGrid>
      <w:tr w14:paraId="5E854F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4" w:hRule="atLeast"/>
          <w:jc w:val="center"/>
        </w:trPr>
        <w:tc>
          <w:tcPr>
            <w:tcW w:w="914" w:type="dxa"/>
            <w:vAlign w:val="center"/>
          </w:tcPr>
          <w:p w14:paraId="466807D4">
            <w:pPr>
              <w:spacing w:line="360" w:lineRule="auto"/>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序号</w:t>
            </w:r>
          </w:p>
        </w:tc>
        <w:tc>
          <w:tcPr>
            <w:tcW w:w="1409" w:type="dxa"/>
            <w:vAlign w:val="center"/>
          </w:tcPr>
          <w:p w14:paraId="36763FBB">
            <w:pPr>
              <w:spacing w:line="360" w:lineRule="auto"/>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分工</w:t>
            </w:r>
          </w:p>
        </w:tc>
        <w:tc>
          <w:tcPr>
            <w:tcW w:w="1097" w:type="dxa"/>
            <w:vAlign w:val="center"/>
          </w:tcPr>
          <w:p w14:paraId="0A71A94B">
            <w:pPr>
              <w:spacing w:line="360" w:lineRule="auto"/>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联系人</w:t>
            </w:r>
          </w:p>
        </w:tc>
        <w:tc>
          <w:tcPr>
            <w:tcW w:w="3190" w:type="dxa"/>
            <w:vAlign w:val="center"/>
          </w:tcPr>
          <w:p w14:paraId="5BF3DACD">
            <w:pPr>
              <w:spacing w:line="360" w:lineRule="auto"/>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职责范围</w:t>
            </w:r>
          </w:p>
        </w:tc>
        <w:tc>
          <w:tcPr>
            <w:tcW w:w="3276" w:type="dxa"/>
            <w:vAlign w:val="center"/>
          </w:tcPr>
          <w:p w14:paraId="5673DB7E">
            <w:pPr>
              <w:spacing w:line="360" w:lineRule="auto"/>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联系电话</w:t>
            </w:r>
          </w:p>
        </w:tc>
      </w:tr>
      <w:tr w14:paraId="507B05E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2C3208F5">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1</w:t>
            </w:r>
          </w:p>
        </w:tc>
        <w:tc>
          <w:tcPr>
            <w:tcW w:w="1409" w:type="dxa"/>
            <w:vAlign w:val="center"/>
          </w:tcPr>
          <w:p w14:paraId="2006E1DE">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项目经办</w:t>
            </w:r>
          </w:p>
        </w:tc>
        <w:tc>
          <w:tcPr>
            <w:tcW w:w="1097" w:type="dxa"/>
            <w:vAlign w:val="center"/>
          </w:tcPr>
          <w:p w14:paraId="0BDE7DD9">
            <w:pPr>
              <w:spacing w:line="360" w:lineRule="auto"/>
              <w:rPr>
                <w:rFonts w:hint="default" w:ascii="宋体" w:hAnsi="宋体" w:eastAsia="宋体" w:cs="宋体"/>
                <w:color w:val="auto"/>
                <w:kern w:val="0"/>
                <w:sz w:val="24"/>
                <w:szCs w:val="24"/>
                <w:highlight w:val="none"/>
                <w:lang w:val="en-US" w:eastAsia="zh-CN"/>
              </w:rPr>
            </w:pPr>
            <w:r>
              <w:rPr>
                <w:rFonts w:hint="eastAsia" w:ascii="宋体" w:hAnsi="宋体" w:cs="宋体"/>
                <w:color w:val="auto"/>
                <w:kern w:val="0"/>
                <w:sz w:val="24"/>
                <w:szCs w:val="24"/>
                <w:highlight w:val="none"/>
                <w:lang w:val="en-US" w:eastAsia="zh-CN"/>
              </w:rPr>
              <w:t>陈先生、傅先生</w:t>
            </w:r>
          </w:p>
        </w:tc>
        <w:tc>
          <w:tcPr>
            <w:tcW w:w="3190" w:type="dxa"/>
            <w:vAlign w:val="center"/>
          </w:tcPr>
          <w:p w14:paraId="2709F1BB">
            <w:pPr>
              <w:spacing w:line="360" w:lineRule="auto"/>
              <w:rPr>
                <w:rFonts w:hint="eastAsia" w:ascii="宋体" w:hAnsi="宋体" w:cs="宋体"/>
                <w:color w:val="auto"/>
                <w:kern w:val="0"/>
                <w:sz w:val="24"/>
                <w:szCs w:val="24"/>
                <w:highlight w:val="none"/>
              </w:rPr>
            </w:pPr>
            <w:r>
              <w:rPr>
                <w:rFonts w:hint="eastAsia" w:ascii="宋体" w:hAnsi="宋体" w:cs="宋体"/>
                <w:color w:val="auto"/>
                <w:sz w:val="24"/>
                <w:szCs w:val="24"/>
                <w:highlight w:val="none"/>
              </w:rPr>
              <w:t>负责招标文件的咨询、答疑等工作</w:t>
            </w:r>
          </w:p>
        </w:tc>
        <w:tc>
          <w:tcPr>
            <w:tcW w:w="3276" w:type="dxa"/>
            <w:vAlign w:val="center"/>
          </w:tcPr>
          <w:p w14:paraId="428328E3">
            <w:pPr>
              <w:spacing w:line="360" w:lineRule="auto"/>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rPr>
              <w:t>0592-</w:t>
            </w:r>
            <w:r>
              <w:rPr>
                <w:rFonts w:hint="eastAsia" w:ascii="宋体" w:hAnsi="宋体" w:cs="宋体"/>
                <w:color w:val="auto"/>
                <w:sz w:val="24"/>
                <w:szCs w:val="24"/>
                <w:highlight w:val="none"/>
                <w:lang w:val="en-US" w:eastAsia="zh-CN"/>
              </w:rPr>
              <w:t>5706826、5792860</w:t>
            </w:r>
          </w:p>
          <w:p w14:paraId="1AFE1406">
            <w:pPr>
              <w:spacing w:line="360" w:lineRule="auto"/>
              <w:rPr>
                <w:rFonts w:hint="eastAsia" w:ascii="宋体" w:hAnsi="宋体" w:cs="宋体"/>
                <w:color w:val="auto"/>
                <w:kern w:val="0"/>
                <w:sz w:val="24"/>
                <w:szCs w:val="24"/>
                <w:highlight w:val="none"/>
              </w:rPr>
            </w:pPr>
            <w:r>
              <w:rPr>
                <w:rFonts w:hint="eastAsia" w:ascii="宋体" w:hAnsi="宋体" w:cs="宋体"/>
                <w:color w:val="auto"/>
                <w:sz w:val="24"/>
                <w:szCs w:val="24"/>
                <w:highlight w:val="none"/>
              </w:rPr>
              <w:t>传真0592-5706660-6969</w:t>
            </w:r>
          </w:p>
        </w:tc>
      </w:tr>
      <w:tr w14:paraId="585D8E3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4A393157">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2</w:t>
            </w:r>
          </w:p>
        </w:tc>
        <w:tc>
          <w:tcPr>
            <w:tcW w:w="1409" w:type="dxa"/>
            <w:vAlign w:val="center"/>
          </w:tcPr>
          <w:p w14:paraId="015C0E8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投标保证金</w:t>
            </w:r>
          </w:p>
        </w:tc>
        <w:tc>
          <w:tcPr>
            <w:tcW w:w="1097" w:type="dxa"/>
            <w:vAlign w:val="center"/>
          </w:tcPr>
          <w:p w14:paraId="17080ED0">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陈</w:t>
            </w:r>
            <w:r>
              <w:rPr>
                <w:rFonts w:hint="eastAsia" w:ascii="宋体" w:hAnsi="宋体" w:cs="宋体"/>
                <w:color w:val="auto"/>
                <w:sz w:val="24"/>
                <w:szCs w:val="24"/>
                <w:highlight w:val="none"/>
              </w:rPr>
              <w:t>小姐</w:t>
            </w:r>
          </w:p>
        </w:tc>
        <w:tc>
          <w:tcPr>
            <w:tcW w:w="3190" w:type="dxa"/>
            <w:vAlign w:val="center"/>
          </w:tcPr>
          <w:p w14:paraId="2D872E78">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投标保证金收、退</w:t>
            </w:r>
          </w:p>
        </w:tc>
        <w:tc>
          <w:tcPr>
            <w:tcW w:w="3276" w:type="dxa"/>
            <w:vAlign w:val="center"/>
          </w:tcPr>
          <w:p w14:paraId="68AB06F8">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0592-5703367</w:t>
            </w:r>
          </w:p>
        </w:tc>
      </w:tr>
      <w:tr w14:paraId="4D5C3B9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5424C70A">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w:t>
            </w:r>
          </w:p>
        </w:tc>
        <w:tc>
          <w:tcPr>
            <w:tcW w:w="1409" w:type="dxa"/>
            <w:vAlign w:val="center"/>
          </w:tcPr>
          <w:p w14:paraId="1BC3DBC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代理服务费</w:t>
            </w:r>
          </w:p>
        </w:tc>
        <w:tc>
          <w:tcPr>
            <w:tcW w:w="1097" w:type="dxa"/>
            <w:vAlign w:val="center"/>
          </w:tcPr>
          <w:p w14:paraId="73E9DFBC">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陈小姐</w:t>
            </w:r>
          </w:p>
        </w:tc>
        <w:tc>
          <w:tcPr>
            <w:tcW w:w="3190" w:type="dxa"/>
            <w:vAlign w:val="center"/>
          </w:tcPr>
          <w:p w14:paraId="495B8593">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代理服务费收取</w:t>
            </w:r>
          </w:p>
        </w:tc>
        <w:tc>
          <w:tcPr>
            <w:tcW w:w="3276" w:type="dxa"/>
            <w:vAlign w:val="center"/>
          </w:tcPr>
          <w:p w14:paraId="5F1CE9AF">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0592-</w:t>
            </w:r>
            <w:r>
              <w:rPr>
                <w:rFonts w:hint="eastAsia" w:ascii="宋体" w:hAnsi="宋体" w:cs="宋体"/>
                <w:color w:val="auto"/>
                <w:sz w:val="24"/>
                <w:szCs w:val="24"/>
                <w:highlight w:val="none"/>
              </w:rPr>
              <w:t xml:space="preserve"> </w:t>
            </w:r>
            <w:r>
              <w:rPr>
                <w:rFonts w:hint="eastAsia" w:ascii="宋体" w:hAnsi="宋体" w:cs="宋体"/>
                <w:color w:val="auto"/>
                <w:kern w:val="0"/>
                <w:sz w:val="24"/>
                <w:szCs w:val="24"/>
                <w:highlight w:val="none"/>
              </w:rPr>
              <w:t>5703367</w:t>
            </w:r>
          </w:p>
        </w:tc>
      </w:tr>
      <w:tr w14:paraId="30BA8FD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4356580E">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4</w:t>
            </w:r>
          </w:p>
        </w:tc>
        <w:tc>
          <w:tcPr>
            <w:tcW w:w="1409" w:type="dxa"/>
            <w:vAlign w:val="center"/>
          </w:tcPr>
          <w:p w14:paraId="7E13C61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监督</w:t>
            </w:r>
          </w:p>
        </w:tc>
        <w:tc>
          <w:tcPr>
            <w:tcW w:w="1097" w:type="dxa"/>
            <w:vAlign w:val="center"/>
          </w:tcPr>
          <w:p w14:paraId="4BF93E01">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黄经理</w:t>
            </w:r>
          </w:p>
        </w:tc>
        <w:tc>
          <w:tcPr>
            <w:tcW w:w="3190" w:type="dxa"/>
            <w:vAlign w:val="center"/>
          </w:tcPr>
          <w:p w14:paraId="77305BB8">
            <w:pPr>
              <w:spacing w:line="360" w:lineRule="auto"/>
              <w:rPr>
                <w:rFonts w:hint="eastAsia" w:ascii="宋体" w:hAnsi="宋体" w:cs="宋体"/>
                <w:color w:val="auto"/>
                <w:sz w:val="24"/>
                <w:szCs w:val="24"/>
                <w:highlight w:val="none"/>
              </w:rPr>
            </w:pPr>
            <w:r>
              <w:rPr>
                <w:rFonts w:hint="eastAsia" w:ascii="宋体" w:hAnsi="宋体" w:cs="宋体"/>
                <w:b/>
                <w:color w:val="auto"/>
                <w:sz w:val="24"/>
                <w:szCs w:val="24"/>
                <w:highlight w:val="none"/>
              </w:rPr>
              <w:t>欢迎投标人对项目采购过程中公告发布、招标文件购买、投标保证金缴交和退还、代理服务费收取、中标通知书发放等环节的服务进行监督。我们将竭诚为您提供最优质的服务。</w:t>
            </w:r>
          </w:p>
        </w:tc>
        <w:tc>
          <w:tcPr>
            <w:tcW w:w="3276" w:type="dxa"/>
            <w:vAlign w:val="center"/>
          </w:tcPr>
          <w:p w14:paraId="570B908B">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0592-5705656</w:t>
            </w:r>
          </w:p>
        </w:tc>
      </w:tr>
      <w:tr w14:paraId="7C6D2EB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6348F522">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5</w:t>
            </w:r>
          </w:p>
        </w:tc>
        <w:tc>
          <w:tcPr>
            <w:tcW w:w="1409" w:type="dxa"/>
            <w:vAlign w:val="center"/>
          </w:tcPr>
          <w:p w14:paraId="64B935B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接收质疑</w:t>
            </w:r>
          </w:p>
        </w:tc>
        <w:tc>
          <w:tcPr>
            <w:tcW w:w="1097" w:type="dxa"/>
            <w:vAlign w:val="center"/>
          </w:tcPr>
          <w:p w14:paraId="3B899F3D">
            <w:pPr>
              <w:spacing w:line="360" w:lineRule="auto"/>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刘经理</w:t>
            </w:r>
          </w:p>
        </w:tc>
        <w:tc>
          <w:tcPr>
            <w:tcW w:w="3190" w:type="dxa"/>
            <w:vAlign w:val="center"/>
          </w:tcPr>
          <w:p w14:paraId="748D2CB8">
            <w:pPr>
              <w:spacing w:line="360" w:lineRule="auto"/>
              <w:rPr>
                <w:rFonts w:hint="eastAsia" w:ascii="宋体" w:hAnsi="宋体" w:cs="宋体"/>
                <w:b/>
                <w:color w:val="auto"/>
                <w:sz w:val="24"/>
                <w:szCs w:val="24"/>
                <w:highlight w:val="none"/>
              </w:rPr>
            </w:pPr>
            <w:r>
              <w:rPr>
                <w:rFonts w:hint="eastAsia" w:ascii="宋体" w:hAnsi="宋体" w:cs="宋体"/>
                <w:color w:val="auto"/>
                <w:kern w:val="0"/>
                <w:sz w:val="24"/>
                <w:szCs w:val="24"/>
                <w:highlight w:val="none"/>
              </w:rPr>
              <w:t>负责接收质疑</w:t>
            </w:r>
          </w:p>
        </w:tc>
        <w:tc>
          <w:tcPr>
            <w:tcW w:w="3276" w:type="dxa"/>
            <w:vAlign w:val="center"/>
          </w:tcPr>
          <w:p w14:paraId="76BC0201">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电话0592-2218761</w:t>
            </w:r>
          </w:p>
          <w:p w14:paraId="595C8F1F">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传真0592-5706660-6969</w:t>
            </w:r>
          </w:p>
          <w:p w14:paraId="44AB519D">
            <w:pPr>
              <w:spacing w:line="360" w:lineRule="auto"/>
              <w:rPr>
                <w:rFonts w:hint="eastAsia" w:ascii="宋体" w:hAnsi="宋体" w:cs="宋体"/>
                <w:color w:val="auto"/>
                <w:sz w:val="24"/>
                <w:szCs w:val="24"/>
                <w:highlight w:val="none"/>
              </w:rPr>
            </w:pPr>
            <w:r>
              <w:rPr>
                <w:color w:val="auto"/>
                <w:highlight w:val="none"/>
              </w:rPr>
              <w:fldChar w:fldCharType="begin"/>
            </w:r>
            <w:r>
              <w:rPr>
                <w:color w:val="auto"/>
                <w:highlight w:val="none"/>
              </w:rPr>
              <w:instrText xml:space="preserve"> HYPERLINK "mailto:邮箱hcq@iport.com.cn" </w:instrText>
            </w:r>
            <w:r>
              <w:rPr>
                <w:color w:val="auto"/>
                <w:highlight w:val="none"/>
              </w:rPr>
              <w:fldChar w:fldCharType="separate"/>
            </w:r>
            <w:r>
              <w:rPr>
                <w:rFonts w:hint="eastAsia" w:ascii="宋体" w:hAnsi="宋体" w:cs="宋体"/>
                <w:color w:val="auto"/>
                <w:sz w:val="24"/>
                <w:szCs w:val="24"/>
                <w:highlight w:val="none"/>
              </w:rPr>
              <w:t>邮箱lmf@iport.com.cn</w:t>
            </w:r>
            <w:r>
              <w:rPr>
                <w:rFonts w:hint="eastAsia" w:ascii="宋体" w:hAnsi="宋体" w:cs="宋体"/>
                <w:color w:val="auto"/>
                <w:sz w:val="24"/>
                <w:szCs w:val="24"/>
                <w:highlight w:val="none"/>
              </w:rPr>
              <w:fldChar w:fldCharType="end"/>
            </w:r>
          </w:p>
          <w:p w14:paraId="676142D7">
            <w:pPr>
              <w:spacing w:line="360" w:lineRule="auto"/>
              <w:rPr>
                <w:rFonts w:hint="eastAsia" w:ascii="宋体" w:hAnsi="宋体" w:cs="宋体"/>
                <w:color w:val="auto"/>
                <w:kern w:val="0"/>
                <w:sz w:val="24"/>
                <w:szCs w:val="24"/>
                <w:highlight w:val="none"/>
              </w:rPr>
            </w:pPr>
            <w:r>
              <w:rPr>
                <w:rFonts w:hint="eastAsia" w:ascii="宋体" w:hAnsi="宋体" w:cs="宋体"/>
                <w:color w:val="auto"/>
                <w:sz w:val="24"/>
                <w:szCs w:val="24"/>
                <w:highlight w:val="none"/>
              </w:rPr>
              <w:t>通讯地址：厦门市湖里区机场北路476号4楼</w:t>
            </w:r>
          </w:p>
        </w:tc>
      </w:tr>
    </w:tbl>
    <w:p w14:paraId="1787CE67">
      <w:pPr>
        <w:tabs>
          <w:tab w:val="left" w:pos="114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12、投标保证金及代理服务费缴交账户：</w:t>
      </w:r>
    </w:p>
    <w:tbl>
      <w:tblPr>
        <w:tblStyle w:val="13"/>
        <w:tblW w:w="9168"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326"/>
        <w:gridCol w:w="3240"/>
        <w:gridCol w:w="4602"/>
      </w:tblGrid>
      <w:tr w14:paraId="3760E86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jc w:val="center"/>
        </w:trPr>
        <w:tc>
          <w:tcPr>
            <w:tcW w:w="1326" w:type="dxa"/>
            <w:vAlign w:val="center"/>
          </w:tcPr>
          <w:p w14:paraId="63794295">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类   别</w:t>
            </w:r>
          </w:p>
        </w:tc>
        <w:tc>
          <w:tcPr>
            <w:tcW w:w="3240" w:type="dxa"/>
            <w:vAlign w:val="center"/>
          </w:tcPr>
          <w:p w14:paraId="5734F446">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投标保证金缴交账户</w:t>
            </w:r>
          </w:p>
        </w:tc>
        <w:tc>
          <w:tcPr>
            <w:tcW w:w="4602" w:type="dxa"/>
            <w:vAlign w:val="center"/>
          </w:tcPr>
          <w:p w14:paraId="2A98263B">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代理服务费缴交账户</w:t>
            </w:r>
          </w:p>
        </w:tc>
      </w:tr>
      <w:tr w14:paraId="3128D0D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35" w:hRule="atLeast"/>
          <w:jc w:val="center"/>
        </w:trPr>
        <w:tc>
          <w:tcPr>
            <w:tcW w:w="1326" w:type="dxa"/>
            <w:vAlign w:val="center"/>
          </w:tcPr>
          <w:p w14:paraId="76D91D2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开 户 行</w:t>
            </w:r>
          </w:p>
        </w:tc>
        <w:tc>
          <w:tcPr>
            <w:tcW w:w="3240" w:type="dxa"/>
            <w:vAlign w:val="center"/>
          </w:tcPr>
          <w:p w14:paraId="3EEFF04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兴业银行股份有限公司厦门分行营业部</w:t>
            </w:r>
          </w:p>
        </w:tc>
        <w:tc>
          <w:tcPr>
            <w:tcW w:w="4602" w:type="dxa"/>
            <w:vAlign w:val="center"/>
          </w:tcPr>
          <w:p w14:paraId="3310D4C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中国建设银行股份有限公司厦门自贸试验区航空港支行</w:t>
            </w:r>
          </w:p>
        </w:tc>
      </w:tr>
      <w:tr w14:paraId="08B408E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vAlign w:val="center"/>
          </w:tcPr>
          <w:p w14:paraId="04BCFB4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账    号</w:t>
            </w:r>
          </w:p>
        </w:tc>
        <w:tc>
          <w:tcPr>
            <w:tcW w:w="3240" w:type="dxa"/>
            <w:vAlign w:val="center"/>
          </w:tcPr>
          <w:p w14:paraId="6037316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1296801001005552460051</w:t>
            </w:r>
          </w:p>
        </w:tc>
        <w:tc>
          <w:tcPr>
            <w:tcW w:w="4602" w:type="dxa"/>
            <w:vAlign w:val="center"/>
          </w:tcPr>
          <w:p w14:paraId="71BF5F2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35101570201052504219</w:t>
            </w:r>
          </w:p>
        </w:tc>
      </w:tr>
      <w:tr w14:paraId="3FD4E1B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vAlign w:val="center"/>
          </w:tcPr>
          <w:p w14:paraId="6EC7F75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户名</w:t>
            </w:r>
          </w:p>
        </w:tc>
        <w:tc>
          <w:tcPr>
            <w:tcW w:w="7842" w:type="dxa"/>
            <w:gridSpan w:val="2"/>
            <w:vAlign w:val="center"/>
          </w:tcPr>
          <w:p w14:paraId="2902E60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厦门万翔招标有限公司</w:t>
            </w:r>
          </w:p>
        </w:tc>
      </w:tr>
    </w:tbl>
    <w:p w14:paraId="243CAF60">
      <w:pPr>
        <w:tabs>
          <w:tab w:val="left" w:pos="1140"/>
        </w:tabs>
        <w:spacing w:line="360" w:lineRule="auto"/>
        <w:ind w:firstLine="480" w:firstLineChars="200"/>
        <w:rPr>
          <w:rFonts w:hint="eastAsia" w:ascii="宋体" w:hAnsi="宋体" w:cs="宋体"/>
          <w:color w:val="auto"/>
          <w:sz w:val="24"/>
          <w:szCs w:val="24"/>
          <w:highlight w:val="none"/>
        </w:rPr>
      </w:pPr>
    </w:p>
    <w:p w14:paraId="0F138C00">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注：投标人须将相关的费用缴交至上表对应的账号，缴错账号而产生的一切后果由投标人自行承担。</w:t>
      </w:r>
    </w:p>
    <w:p w14:paraId="631441D8">
      <w:pPr>
        <w:numPr>
          <w:ilvl w:val="255"/>
          <w:numId w:val="0"/>
        </w:num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13、注意事项：</w:t>
      </w:r>
    </w:p>
    <w:p w14:paraId="7721AB79">
      <w:pPr>
        <w:widowControl/>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项目中标供应商服务费发票将以邮件方式发送至购标指定邮箱。</w:t>
      </w:r>
    </w:p>
    <w:p w14:paraId="2804DB79">
      <w:pPr>
        <w:numPr>
          <w:ilvl w:val="255"/>
          <w:numId w:val="0"/>
        </w:numPr>
        <w:spacing w:line="360" w:lineRule="auto"/>
        <w:rPr>
          <w:rFonts w:hint="eastAsia" w:ascii="宋体" w:hAnsi="宋体" w:cs="宋体"/>
          <w:color w:val="auto"/>
          <w:sz w:val="24"/>
          <w:szCs w:val="24"/>
          <w:highlight w:val="none"/>
        </w:rPr>
      </w:pPr>
    </w:p>
    <w:p w14:paraId="7F5D28D8">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招标代理机构：厦门万翔招标有限公司 </w:t>
      </w:r>
    </w:p>
    <w:p w14:paraId="0A385DA0">
      <w:pPr>
        <w:spacing w:line="360" w:lineRule="auto"/>
        <w:ind w:firstLine="48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地  址：厦门市湖里区机场北路476号四楼 </w:t>
      </w:r>
    </w:p>
    <w:p w14:paraId="76382CB3">
      <w:pPr>
        <w:tabs>
          <w:tab w:val="left" w:pos="2775"/>
        </w:tabs>
        <w:spacing w:line="360" w:lineRule="auto"/>
        <w:ind w:firstLine="480"/>
        <w:rPr>
          <w:rFonts w:hint="eastAsia" w:ascii="宋体" w:hAnsi="宋体" w:cs="宋体"/>
          <w:color w:val="auto"/>
          <w:sz w:val="24"/>
          <w:szCs w:val="24"/>
          <w:highlight w:val="none"/>
        </w:rPr>
      </w:pPr>
      <w:r>
        <w:rPr>
          <w:rFonts w:hint="eastAsia" w:ascii="宋体" w:hAnsi="宋体" w:cs="宋体"/>
          <w:color w:val="auto"/>
          <w:sz w:val="24"/>
          <w:szCs w:val="24"/>
          <w:highlight w:val="none"/>
        </w:rPr>
        <w:t>邮  编： 361006</w:t>
      </w:r>
    </w:p>
    <w:p w14:paraId="60DF6CA3">
      <w:pPr>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合同款项事宜联系人：</w:t>
      </w:r>
      <w:r>
        <w:rPr>
          <w:rFonts w:hint="eastAsia" w:ascii="宋体" w:hAnsi="宋体" w:cs="宋体"/>
          <w:b/>
          <w:bCs/>
          <w:color w:val="auto"/>
          <w:kern w:val="0"/>
          <w:sz w:val="24"/>
          <w:szCs w:val="24"/>
          <w:highlight w:val="none"/>
        </w:rPr>
        <w:t>陈志鹏，0592</w:t>
      </w:r>
      <w:r>
        <w:rPr>
          <w:rFonts w:ascii="宋体" w:hAnsi="宋体" w:cs="宋体"/>
          <w:b/>
          <w:bCs/>
          <w:color w:val="auto"/>
          <w:kern w:val="0"/>
          <w:sz w:val="24"/>
          <w:szCs w:val="24"/>
          <w:highlight w:val="none"/>
        </w:rPr>
        <w:t>-</w:t>
      </w:r>
      <w:r>
        <w:rPr>
          <w:rFonts w:hint="eastAsia" w:ascii="宋体" w:hAnsi="宋体" w:cs="宋体"/>
          <w:b/>
          <w:bCs/>
          <w:color w:val="auto"/>
          <w:kern w:val="0"/>
          <w:sz w:val="24"/>
          <w:szCs w:val="24"/>
          <w:highlight w:val="none"/>
        </w:rPr>
        <w:t>5706825</w:t>
      </w:r>
    </w:p>
    <w:p w14:paraId="3AA0D0B8">
      <w:pPr>
        <w:tabs>
          <w:tab w:val="left" w:pos="2775"/>
        </w:tabs>
        <w:spacing w:line="360" w:lineRule="auto"/>
        <w:ind w:firstLine="480"/>
        <w:rPr>
          <w:rFonts w:hint="eastAsia" w:ascii="宋体" w:hAnsi="宋体" w:cs="宋体"/>
          <w:color w:val="auto"/>
          <w:sz w:val="24"/>
          <w:szCs w:val="24"/>
          <w:highlight w:val="none"/>
        </w:rPr>
      </w:pPr>
    </w:p>
    <w:p w14:paraId="045FA524">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p>
    <w:p w14:paraId="777D4527">
      <w:pPr>
        <w:spacing w:line="360" w:lineRule="auto"/>
        <w:rPr>
          <w:rFonts w:hint="eastAsia" w:ascii="宋体" w:hAnsi="宋体" w:cs="宋体"/>
          <w:color w:val="auto"/>
          <w:sz w:val="24"/>
          <w:szCs w:val="24"/>
          <w:highlight w:val="none"/>
        </w:rPr>
      </w:pPr>
    </w:p>
    <w:p w14:paraId="1650C324">
      <w:pPr>
        <w:spacing w:line="360" w:lineRule="auto"/>
        <w:rPr>
          <w:rFonts w:hint="eastAsia" w:ascii="宋体" w:hAnsi="宋体" w:cs="宋体"/>
          <w:color w:val="auto"/>
          <w:sz w:val="24"/>
          <w:szCs w:val="24"/>
          <w:highlight w:val="none"/>
        </w:rPr>
      </w:pPr>
    </w:p>
    <w:p w14:paraId="49D11B4B">
      <w:pPr>
        <w:spacing w:line="360" w:lineRule="auto"/>
        <w:rPr>
          <w:rFonts w:hint="eastAsia" w:ascii="宋体" w:hAnsi="宋体" w:cs="宋体"/>
          <w:color w:val="auto"/>
          <w:sz w:val="24"/>
          <w:szCs w:val="24"/>
          <w:highlight w:val="none"/>
        </w:rPr>
      </w:pPr>
    </w:p>
    <w:p w14:paraId="0B3F554A">
      <w:pPr>
        <w:spacing w:line="360" w:lineRule="auto"/>
        <w:rPr>
          <w:rFonts w:hint="eastAsia" w:ascii="宋体" w:hAnsi="宋体" w:cs="宋体"/>
          <w:color w:val="auto"/>
          <w:sz w:val="24"/>
          <w:szCs w:val="24"/>
          <w:highlight w:val="none"/>
        </w:rPr>
      </w:pPr>
    </w:p>
    <w:p w14:paraId="2FD31D2F">
      <w:pPr>
        <w:spacing w:line="360" w:lineRule="auto"/>
        <w:rPr>
          <w:rFonts w:hint="eastAsia" w:ascii="宋体" w:hAnsi="宋体" w:cs="宋体"/>
          <w:color w:val="auto"/>
          <w:sz w:val="24"/>
          <w:szCs w:val="24"/>
          <w:highlight w:val="none"/>
        </w:rPr>
      </w:pPr>
    </w:p>
    <w:p w14:paraId="66A7B451">
      <w:pPr>
        <w:spacing w:line="360" w:lineRule="auto"/>
        <w:rPr>
          <w:rFonts w:hint="eastAsia" w:ascii="宋体" w:hAnsi="宋体" w:cs="宋体"/>
          <w:color w:val="auto"/>
          <w:sz w:val="24"/>
          <w:szCs w:val="24"/>
          <w:highlight w:val="none"/>
        </w:rPr>
      </w:pPr>
    </w:p>
    <w:p w14:paraId="53349284">
      <w:pPr>
        <w:spacing w:line="360" w:lineRule="auto"/>
        <w:rPr>
          <w:rFonts w:hint="eastAsia" w:ascii="宋体" w:hAnsi="宋体" w:cs="宋体"/>
          <w:color w:val="auto"/>
          <w:sz w:val="24"/>
          <w:szCs w:val="24"/>
          <w:highlight w:val="none"/>
        </w:rPr>
      </w:pPr>
    </w:p>
    <w:p w14:paraId="309E6A85">
      <w:pPr>
        <w:spacing w:line="360" w:lineRule="auto"/>
        <w:rPr>
          <w:rFonts w:hint="eastAsia" w:ascii="宋体" w:hAnsi="宋体" w:cs="宋体"/>
          <w:color w:val="auto"/>
          <w:sz w:val="24"/>
          <w:szCs w:val="24"/>
          <w:highlight w:val="none"/>
        </w:rPr>
      </w:pPr>
    </w:p>
    <w:p w14:paraId="5B5BB38A">
      <w:pPr>
        <w:spacing w:line="360" w:lineRule="auto"/>
        <w:rPr>
          <w:rFonts w:hint="eastAsia" w:ascii="宋体" w:hAnsi="宋体" w:cs="宋体"/>
          <w:color w:val="auto"/>
          <w:sz w:val="24"/>
          <w:szCs w:val="24"/>
          <w:highlight w:val="none"/>
        </w:rPr>
      </w:pPr>
    </w:p>
    <w:p w14:paraId="5A2EFAB6">
      <w:pPr>
        <w:spacing w:line="360" w:lineRule="auto"/>
        <w:rPr>
          <w:rFonts w:hint="eastAsia" w:ascii="宋体" w:hAnsi="宋体" w:cs="宋体"/>
          <w:color w:val="auto"/>
          <w:sz w:val="24"/>
          <w:szCs w:val="24"/>
          <w:highlight w:val="none"/>
        </w:rPr>
      </w:pPr>
    </w:p>
    <w:p w14:paraId="56F2B494">
      <w:pPr>
        <w:spacing w:line="360" w:lineRule="auto"/>
        <w:rPr>
          <w:rFonts w:hint="eastAsia" w:ascii="宋体" w:hAnsi="宋体" w:cs="宋体"/>
          <w:color w:val="auto"/>
          <w:sz w:val="24"/>
          <w:szCs w:val="24"/>
          <w:highlight w:val="none"/>
        </w:rPr>
      </w:pPr>
    </w:p>
    <w:p w14:paraId="60862BC8">
      <w:pPr>
        <w:spacing w:line="360" w:lineRule="auto"/>
        <w:rPr>
          <w:rFonts w:hint="eastAsia" w:ascii="宋体" w:hAnsi="宋体" w:cs="宋体"/>
          <w:color w:val="auto"/>
          <w:sz w:val="24"/>
          <w:szCs w:val="24"/>
          <w:highlight w:val="none"/>
        </w:rPr>
      </w:pPr>
    </w:p>
    <w:p w14:paraId="78F8AAFA">
      <w:pPr>
        <w:spacing w:line="360" w:lineRule="auto"/>
        <w:rPr>
          <w:rFonts w:hint="eastAsia" w:ascii="宋体" w:hAnsi="宋体" w:cs="宋体"/>
          <w:color w:val="auto"/>
          <w:sz w:val="24"/>
          <w:szCs w:val="24"/>
          <w:highlight w:val="none"/>
        </w:rPr>
      </w:pPr>
    </w:p>
    <w:p w14:paraId="4356CD5C">
      <w:pPr>
        <w:spacing w:line="360" w:lineRule="auto"/>
        <w:rPr>
          <w:rFonts w:hint="eastAsia" w:ascii="宋体" w:hAnsi="宋体" w:cs="宋体"/>
          <w:color w:val="auto"/>
          <w:sz w:val="24"/>
          <w:szCs w:val="24"/>
          <w:highlight w:val="none"/>
        </w:rPr>
      </w:pPr>
    </w:p>
    <w:p w14:paraId="737C05F1">
      <w:pPr>
        <w:spacing w:line="360" w:lineRule="auto"/>
        <w:rPr>
          <w:rFonts w:hint="eastAsia" w:ascii="宋体" w:hAnsi="宋体" w:cs="宋体"/>
          <w:color w:val="auto"/>
          <w:sz w:val="32"/>
          <w:szCs w:val="32"/>
          <w:highlight w:val="none"/>
        </w:rPr>
      </w:pPr>
    </w:p>
    <w:p w14:paraId="79C2DD67">
      <w:pPr>
        <w:spacing w:line="360" w:lineRule="auto"/>
        <w:rPr>
          <w:rFonts w:hint="eastAsia" w:ascii="宋体" w:hAnsi="宋体" w:cs="宋体"/>
          <w:color w:val="auto"/>
          <w:sz w:val="32"/>
          <w:szCs w:val="32"/>
          <w:highlight w:val="none"/>
        </w:rPr>
      </w:pPr>
    </w:p>
    <w:p w14:paraId="41E2618F">
      <w:pPr>
        <w:spacing w:line="360" w:lineRule="auto"/>
        <w:rPr>
          <w:rFonts w:hint="eastAsia" w:ascii="宋体" w:hAnsi="宋体" w:cs="宋体"/>
          <w:color w:val="auto"/>
          <w:sz w:val="32"/>
          <w:szCs w:val="32"/>
          <w:highlight w:val="none"/>
        </w:rPr>
      </w:pPr>
      <w:r>
        <w:rPr>
          <w:rFonts w:hint="eastAsia" w:ascii="宋体" w:hAnsi="宋体" w:cs="宋体"/>
          <w:color w:val="auto"/>
          <w:sz w:val="32"/>
          <w:szCs w:val="32"/>
          <w:highlight w:val="none"/>
        </w:rPr>
        <w:t>附：招标货物(服务)一览表</w:t>
      </w:r>
    </w:p>
    <w:p w14:paraId="611F43F8">
      <w:pPr>
        <w:spacing w:line="360" w:lineRule="auto"/>
        <w:jc w:val="center"/>
        <w:rPr>
          <w:rFonts w:hint="eastAsia" w:ascii="宋体" w:hAnsi="宋体" w:cs="宋体"/>
          <w:b/>
          <w:color w:val="auto"/>
          <w:sz w:val="32"/>
          <w:szCs w:val="32"/>
          <w:highlight w:val="none"/>
        </w:rPr>
      </w:pPr>
      <w:r>
        <w:rPr>
          <w:rFonts w:hint="eastAsia" w:ascii="宋体" w:hAnsi="宋体" w:cs="宋体"/>
          <w:b/>
          <w:color w:val="auto"/>
          <w:sz w:val="32"/>
          <w:szCs w:val="32"/>
          <w:highlight w:val="none"/>
        </w:rPr>
        <w:t>招标货物（服务）一览表</w:t>
      </w:r>
    </w:p>
    <w:tbl>
      <w:tblPr>
        <w:tblStyle w:val="13"/>
        <w:tblW w:w="9513" w:type="dxa"/>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952"/>
        <w:gridCol w:w="1716"/>
        <w:gridCol w:w="900"/>
        <w:gridCol w:w="1620"/>
        <w:gridCol w:w="1080"/>
        <w:gridCol w:w="2027"/>
      </w:tblGrid>
      <w:tr w14:paraId="356C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vAlign w:val="center"/>
          </w:tcPr>
          <w:p w14:paraId="214CEFD5">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w:t>
            </w:r>
          </w:p>
        </w:tc>
        <w:tc>
          <w:tcPr>
            <w:tcW w:w="952" w:type="dxa"/>
            <w:tcBorders>
              <w:top w:val="single" w:color="auto" w:sz="4" w:space="0"/>
              <w:left w:val="single" w:color="auto" w:sz="4" w:space="0"/>
              <w:bottom w:val="single" w:color="auto" w:sz="4" w:space="0"/>
              <w:right w:val="single" w:color="auto" w:sz="4" w:space="0"/>
            </w:tcBorders>
            <w:vAlign w:val="center"/>
          </w:tcPr>
          <w:p w14:paraId="4CC46E0A">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品目号</w:t>
            </w:r>
          </w:p>
        </w:tc>
        <w:tc>
          <w:tcPr>
            <w:tcW w:w="1716" w:type="dxa"/>
            <w:tcBorders>
              <w:top w:val="single" w:color="auto" w:sz="4" w:space="0"/>
              <w:left w:val="single" w:color="auto" w:sz="4" w:space="0"/>
              <w:bottom w:val="single" w:color="auto" w:sz="4" w:space="0"/>
              <w:right w:val="single" w:color="auto" w:sz="4" w:space="0"/>
            </w:tcBorders>
            <w:vAlign w:val="center"/>
          </w:tcPr>
          <w:p w14:paraId="27F27E46">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货物名称</w:t>
            </w:r>
          </w:p>
        </w:tc>
        <w:tc>
          <w:tcPr>
            <w:tcW w:w="900" w:type="dxa"/>
            <w:tcBorders>
              <w:top w:val="single" w:color="auto" w:sz="4" w:space="0"/>
              <w:left w:val="single" w:color="auto" w:sz="4" w:space="0"/>
              <w:bottom w:val="single" w:color="auto" w:sz="4" w:space="0"/>
              <w:right w:val="single" w:color="auto" w:sz="4" w:space="0"/>
            </w:tcBorders>
            <w:vAlign w:val="center"/>
          </w:tcPr>
          <w:p w14:paraId="1FFA140B">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数量</w:t>
            </w:r>
          </w:p>
        </w:tc>
        <w:tc>
          <w:tcPr>
            <w:tcW w:w="1620" w:type="dxa"/>
            <w:tcBorders>
              <w:top w:val="single" w:color="auto" w:sz="4" w:space="0"/>
              <w:left w:val="single" w:color="auto" w:sz="4" w:space="0"/>
              <w:bottom w:val="single" w:color="auto" w:sz="4" w:space="0"/>
              <w:right w:val="single" w:color="auto" w:sz="4" w:space="0"/>
            </w:tcBorders>
            <w:vAlign w:val="center"/>
          </w:tcPr>
          <w:p w14:paraId="61D0688C">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主要技术规格</w:t>
            </w:r>
          </w:p>
        </w:tc>
        <w:tc>
          <w:tcPr>
            <w:tcW w:w="1080" w:type="dxa"/>
            <w:tcBorders>
              <w:top w:val="single" w:color="auto" w:sz="4" w:space="0"/>
              <w:left w:val="single" w:color="auto" w:sz="4" w:space="0"/>
              <w:bottom w:val="single" w:color="auto" w:sz="4" w:space="0"/>
              <w:right w:val="single" w:color="auto" w:sz="4" w:space="0"/>
            </w:tcBorders>
            <w:vAlign w:val="center"/>
          </w:tcPr>
          <w:p w14:paraId="067F90A1">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交货地点</w:t>
            </w:r>
          </w:p>
        </w:tc>
        <w:tc>
          <w:tcPr>
            <w:tcW w:w="2027" w:type="dxa"/>
            <w:tcBorders>
              <w:top w:val="single" w:color="auto" w:sz="4" w:space="0"/>
              <w:left w:val="single" w:color="auto" w:sz="4" w:space="0"/>
              <w:bottom w:val="single" w:color="auto" w:sz="4" w:space="0"/>
              <w:right w:val="single" w:color="auto" w:sz="4" w:space="0"/>
            </w:tcBorders>
            <w:vAlign w:val="center"/>
          </w:tcPr>
          <w:p w14:paraId="1A0B4B79">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w:t>
            </w:r>
          </w:p>
        </w:tc>
      </w:tr>
      <w:tr w14:paraId="18AC4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vAlign w:val="center"/>
          </w:tcPr>
          <w:p w14:paraId="7B94FFBA">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XM2026-DZ0001</w:t>
            </w:r>
          </w:p>
        </w:tc>
        <w:tc>
          <w:tcPr>
            <w:tcW w:w="952" w:type="dxa"/>
            <w:tcBorders>
              <w:top w:val="single" w:color="auto" w:sz="4" w:space="0"/>
              <w:left w:val="single" w:color="auto" w:sz="4" w:space="0"/>
              <w:bottom w:val="single" w:color="auto" w:sz="4" w:space="0"/>
              <w:right w:val="single" w:color="auto" w:sz="4" w:space="0"/>
            </w:tcBorders>
            <w:vAlign w:val="center"/>
          </w:tcPr>
          <w:p w14:paraId="505C19FA">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1-1</w:t>
            </w:r>
          </w:p>
        </w:tc>
        <w:tc>
          <w:tcPr>
            <w:tcW w:w="1716" w:type="dxa"/>
            <w:tcBorders>
              <w:top w:val="single" w:color="auto" w:sz="4" w:space="0"/>
              <w:left w:val="single" w:color="auto" w:sz="4" w:space="0"/>
              <w:bottom w:val="single" w:color="auto" w:sz="4" w:space="0"/>
              <w:right w:val="single" w:color="auto" w:sz="4" w:space="0"/>
            </w:tcBorders>
            <w:vAlign w:val="center"/>
          </w:tcPr>
          <w:p w14:paraId="244A5DD7">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厦门理工学院家具采购</w:t>
            </w:r>
          </w:p>
        </w:tc>
        <w:tc>
          <w:tcPr>
            <w:tcW w:w="900" w:type="dxa"/>
            <w:tcBorders>
              <w:top w:val="single" w:color="auto" w:sz="4" w:space="0"/>
              <w:left w:val="single" w:color="auto" w:sz="4" w:space="0"/>
              <w:bottom w:val="single" w:color="auto" w:sz="4" w:space="0"/>
              <w:right w:val="single" w:color="auto" w:sz="4" w:space="0"/>
            </w:tcBorders>
            <w:vAlign w:val="center"/>
          </w:tcPr>
          <w:p w14:paraId="7C6D3500">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1项</w:t>
            </w:r>
          </w:p>
        </w:tc>
        <w:tc>
          <w:tcPr>
            <w:tcW w:w="1620" w:type="dxa"/>
            <w:tcBorders>
              <w:top w:val="single" w:color="auto" w:sz="4" w:space="0"/>
              <w:left w:val="single" w:color="auto" w:sz="4" w:space="0"/>
              <w:bottom w:val="single" w:color="auto" w:sz="4" w:space="0"/>
              <w:right w:val="single" w:color="auto" w:sz="4" w:space="0"/>
            </w:tcBorders>
            <w:vAlign w:val="center"/>
          </w:tcPr>
          <w:p w14:paraId="2DC25C6F">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详见招标内容及要求</w:t>
            </w:r>
          </w:p>
        </w:tc>
        <w:tc>
          <w:tcPr>
            <w:tcW w:w="1080" w:type="dxa"/>
            <w:tcBorders>
              <w:top w:val="single" w:color="auto" w:sz="4" w:space="0"/>
              <w:left w:val="single" w:color="auto" w:sz="4" w:space="0"/>
              <w:bottom w:val="single" w:color="auto" w:sz="4" w:space="0"/>
              <w:right w:val="single" w:color="auto" w:sz="4" w:space="0"/>
            </w:tcBorders>
            <w:vAlign w:val="center"/>
          </w:tcPr>
          <w:p w14:paraId="1BA304DF">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使用单位指定地点</w:t>
            </w:r>
          </w:p>
        </w:tc>
        <w:tc>
          <w:tcPr>
            <w:tcW w:w="2027" w:type="dxa"/>
            <w:tcBorders>
              <w:top w:val="single" w:color="auto" w:sz="4" w:space="0"/>
              <w:left w:val="single" w:color="auto" w:sz="4" w:space="0"/>
              <w:bottom w:val="single" w:color="auto" w:sz="4" w:space="0"/>
              <w:right w:val="single" w:color="auto" w:sz="4" w:space="0"/>
            </w:tcBorders>
            <w:vAlign w:val="center"/>
          </w:tcPr>
          <w:p w14:paraId="5F2CAC43">
            <w:pPr>
              <w:pStyle w:val="5"/>
              <w:tabs>
                <w:tab w:val="left" w:pos="8360"/>
              </w:tabs>
              <w:spacing w:line="360" w:lineRule="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厦门理工学院</w:t>
            </w:r>
          </w:p>
        </w:tc>
      </w:tr>
    </w:tbl>
    <w:p w14:paraId="3C20729F">
      <w:pPr>
        <w:spacing w:line="360" w:lineRule="auto"/>
        <w:rPr>
          <w:rFonts w:hint="eastAsia" w:ascii="宋体" w:hAnsi="宋体" w:cs="宋体"/>
          <w:b/>
          <w:color w:val="auto"/>
          <w:sz w:val="32"/>
          <w:szCs w:val="32"/>
          <w:highlight w:val="none"/>
        </w:rPr>
      </w:pPr>
    </w:p>
    <w:p w14:paraId="16802C15">
      <w:pPr>
        <w:pStyle w:val="7"/>
        <w:tabs>
          <w:tab w:val="left" w:pos="8360"/>
        </w:tabs>
        <w:spacing w:line="360" w:lineRule="auto"/>
        <w:jc w:val="left"/>
        <w:rPr>
          <w:rFonts w:hint="eastAsia" w:hAnsi="宋体" w:cs="宋体"/>
          <w:color w:val="auto"/>
          <w:sz w:val="24"/>
          <w:szCs w:val="24"/>
          <w:highlight w:val="none"/>
        </w:rPr>
      </w:pPr>
      <w:r>
        <w:rPr>
          <w:rFonts w:hint="eastAsia" w:hAnsi="宋体" w:cs="宋体"/>
          <w:color w:val="auto"/>
          <w:sz w:val="24"/>
          <w:szCs w:val="24"/>
          <w:highlight w:val="none"/>
        </w:rPr>
        <w:t>注：投标人可按合同包投标，对同一合同包内所有品目号内容投标时必须完整。评标与授标以合同包为单位。</w:t>
      </w:r>
    </w:p>
    <w:p w14:paraId="5C1CFE81">
      <w:pPr>
        <w:pStyle w:val="7"/>
        <w:tabs>
          <w:tab w:val="left" w:pos="8360"/>
        </w:tabs>
        <w:spacing w:line="360" w:lineRule="auto"/>
        <w:jc w:val="left"/>
        <w:rPr>
          <w:rFonts w:hint="eastAsia" w:hAnsi="宋体" w:cs="宋体"/>
          <w:color w:val="auto"/>
          <w:sz w:val="24"/>
          <w:szCs w:val="24"/>
          <w:highlight w:val="none"/>
        </w:rPr>
      </w:pPr>
    </w:p>
    <w:p w14:paraId="4DFC4D3F">
      <w:pPr>
        <w:pStyle w:val="7"/>
        <w:tabs>
          <w:tab w:val="left" w:pos="8360"/>
        </w:tabs>
        <w:spacing w:line="360" w:lineRule="auto"/>
        <w:jc w:val="left"/>
        <w:rPr>
          <w:rFonts w:hint="eastAsia" w:hAnsi="宋体" w:cs="宋体"/>
          <w:color w:val="auto"/>
          <w:sz w:val="24"/>
          <w:szCs w:val="24"/>
          <w:highlight w:val="none"/>
        </w:rPr>
      </w:pPr>
    </w:p>
    <w:p w14:paraId="413E5320">
      <w:pPr>
        <w:pStyle w:val="7"/>
        <w:tabs>
          <w:tab w:val="left" w:pos="8360"/>
        </w:tabs>
        <w:spacing w:line="360" w:lineRule="auto"/>
        <w:jc w:val="left"/>
        <w:rPr>
          <w:rFonts w:hint="eastAsia" w:hAnsi="宋体" w:cs="宋体"/>
          <w:color w:val="auto"/>
          <w:sz w:val="24"/>
          <w:szCs w:val="24"/>
          <w:highlight w:val="none"/>
        </w:rPr>
      </w:pPr>
    </w:p>
    <w:p w14:paraId="6B45A7EE">
      <w:pPr>
        <w:pStyle w:val="7"/>
        <w:tabs>
          <w:tab w:val="left" w:pos="8360"/>
        </w:tabs>
        <w:spacing w:line="360" w:lineRule="auto"/>
        <w:jc w:val="left"/>
        <w:rPr>
          <w:rFonts w:hint="eastAsia" w:hAnsi="宋体" w:cs="宋体"/>
          <w:color w:val="auto"/>
          <w:sz w:val="24"/>
          <w:szCs w:val="24"/>
          <w:highlight w:val="none"/>
        </w:rPr>
      </w:pPr>
    </w:p>
    <w:p w14:paraId="5711D09D">
      <w:pPr>
        <w:pStyle w:val="7"/>
        <w:tabs>
          <w:tab w:val="left" w:pos="8360"/>
        </w:tabs>
        <w:spacing w:line="360" w:lineRule="auto"/>
        <w:jc w:val="left"/>
        <w:rPr>
          <w:rFonts w:hint="eastAsia" w:hAnsi="宋体" w:cs="宋体"/>
          <w:color w:val="auto"/>
          <w:sz w:val="24"/>
          <w:szCs w:val="24"/>
          <w:highlight w:val="none"/>
        </w:rPr>
      </w:pPr>
    </w:p>
    <w:p w14:paraId="1FBD1410">
      <w:pPr>
        <w:pStyle w:val="7"/>
        <w:tabs>
          <w:tab w:val="left" w:pos="8360"/>
        </w:tabs>
        <w:spacing w:line="360" w:lineRule="auto"/>
        <w:jc w:val="left"/>
        <w:rPr>
          <w:rFonts w:hint="eastAsia" w:hAnsi="宋体" w:cs="宋体"/>
          <w:color w:val="auto"/>
          <w:sz w:val="24"/>
          <w:szCs w:val="24"/>
          <w:highlight w:val="none"/>
        </w:rPr>
      </w:pPr>
    </w:p>
    <w:p w14:paraId="1ED7F3AA">
      <w:pPr>
        <w:pStyle w:val="7"/>
        <w:tabs>
          <w:tab w:val="left" w:pos="8360"/>
        </w:tabs>
        <w:spacing w:line="360" w:lineRule="auto"/>
        <w:jc w:val="left"/>
        <w:rPr>
          <w:rFonts w:hint="eastAsia" w:hAnsi="宋体" w:cs="宋体"/>
          <w:color w:val="auto"/>
          <w:sz w:val="24"/>
          <w:szCs w:val="24"/>
          <w:highlight w:val="none"/>
        </w:rPr>
      </w:pPr>
    </w:p>
    <w:p w14:paraId="50394241">
      <w:pPr>
        <w:pStyle w:val="7"/>
        <w:tabs>
          <w:tab w:val="left" w:pos="8360"/>
        </w:tabs>
        <w:spacing w:line="360" w:lineRule="auto"/>
        <w:jc w:val="left"/>
        <w:rPr>
          <w:rFonts w:hint="eastAsia" w:hAnsi="宋体" w:cs="宋体"/>
          <w:color w:val="auto"/>
          <w:sz w:val="24"/>
          <w:szCs w:val="24"/>
          <w:highlight w:val="none"/>
        </w:rPr>
      </w:pPr>
    </w:p>
    <w:p w14:paraId="4DD1C827">
      <w:pPr>
        <w:pStyle w:val="7"/>
        <w:tabs>
          <w:tab w:val="left" w:pos="8360"/>
        </w:tabs>
        <w:spacing w:line="360" w:lineRule="auto"/>
        <w:jc w:val="left"/>
        <w:rPr>
          <w:rFonts w:hint="eastAsia" w:hAnsi="宋体" w:cs="宋体"/>
          <w:color w:val="auto"/>
          <w:sz w:val="24"/>
          <w:szCs w:val="24"/>
          <w:highlight w:val="none"/>
        </w:rPr>
      </w:pPr>
    </w:p>
    <w:p w14:paraId="3903D913">
      <w:pPr>
        <w:pStyle w:val="7"/>
        <w:tabs>
          <w:tab w:val="left" w:pos="8360"/>
        </w:tabs>
        <w:spacing w:line="360" w:lineRule="auto"/>
        <w:jc w:val="left"/>
        <w:rPr>
          <w:rFonts w:hint="eastAsia" w:hAnsi="宋体" w:cs="宋体"/>
          <w:color w:val="auto"/>
          <w:sz w:val="24"/>
          <w:szCs w:val="24"/>
          <w:highlight w:val="none"/>
        </w:rPr>
      </w:pPr>
    </w:p>
    <w:p w14:paraId="71A9FF45">
      <w:pPr>
        <w:pStyle w:val="7"/>
        <w:tabs>
          <w:tab w:val="left" w:pos="8360"/>
        </w:tabs>
        <w:spacing w:line="360" w:lineRule="auto"/>
        <w:jc w:val="left"/>
        <w:rPr>
          <w:rFonts w:hint="eastAsia" w:hAnsi="宋体" w:cs="宋体"/>
          <w:color w:val="auto"/>
          <w:sz w:val="24"/>
          <w:szCs w:val="24"/>
          <w:highlight w:val="none"/>
        </w:rPr>
      </w:pPr>
    </w:p>
    <w:p w14:paraId="601FBDFC">
      <w:pPr>
        <w:pStyle w:val="7"/>
        <w:tabs>
          <w:tab w:val="left" w:pos="8360"/>
        </w:tabs>
        <w:spacing w:line="360" w:lineRule="auto"/>
        <w:jc w:val="left"/>
        <w:rPr>
          <w:rFonts w:hint="eastAsia" w:hAnsi="宋体" w:cs="宋体"/>
          <w:color w:val="auto"/>
          <w:sz w:val="24"/>
          <w:szCs w:val="24"/>
          <w:highlight w:val="none"/>
        </w:rPr>
      </w:pPr>
    </w:p>
    <w:p w14:paraId="51462A04">
      <w:pPr>
        <w:pStyle w:val="7"/>
        <w:tabs>
          <w:tab w:val="left" w:pos="8360"/>
        </w:tabs>
        <w:spacing w:line="360" w:lineRule="auto"/>
        <w:jc w:val="left"/>
        <w:rPr>
          <w:rFonts w:hint="eastAsia" w:hAnsi="宋体" w:cs="宋体"/>
          <w:color w:val="auto"/>
          <w:sz w:val="24"/>
          <w:szCs w:val="24"/>
          <w:highlight w:val="none"/>
        </w:rPr>
      </w:pPr>
    </w:p>
    <w:p w14:paraId="5996DE41">
      <w:pPr>
        <w:pStyle w:val="3"/>
        <w:spacing w:line="360" w:lineRule="auto"/>
        <w:ind w:firstLine="0"/>
        <w:rPr>
          <w:rFonts w:hint="eastAsia" w:ascii="宋体" w:hAnsi="宋体" w:cs="宋体"/>
          <w:b/>
          <w:color w:val="auto"/>
          <w:sz w:val="24"/>
          <w:szCs w:val="24"/>
          <w:highlight w:val="none"/>
        </w:rPr>
        <w:sectPr>
          <w:footerReference r:id="rId6" w:type="default"/>
          <w:pgSz w:w="11906" w:h="16838"/>
          <w:pgMar w:top="1440" w:right="1106" w:bottom="1290" w:left="1800" w:header="851" w:footer="992" w:gutter="0"/>
          <w:pgNumType w:start="1"/>
          <w:cols w:space="720" w:num="1"/>
          <w:docGrid w:type="lines" w:linePitch="312" w:charSpace="0"/>
        </w:sectPr>
      </w:pPr>
    </w:p>
    <w:p w14:paraId="556C5A24">
      <w:pPr>
        <w:pStyle w:val="18"/>
        <w:spacing w:line="360" w:lineRule="auto"/>
        <w:jc w:val="center"/>
        <w:rPr>
          <w:rFonts w:hint="eastAsia" w:hAnsi="宋体" w:cs="宋体"/>
          <w:b/>
          <w:color w:val="auto"/>
          <w:sz w:val="32"/>
          <w:szCs w:val="32"/>
          <w:highlight w:val="none"/>
        </w:rPr>
      </w:pPr>
      <w:r>
        <w:rPr>
          <w:rFonts w:hint="eastAsia" w:hAnsi="宋体" w:cs="宋体"/>
          <w:b/>
          <w:color w:val="auto"/>
          <w:sz w:val="32"/>
          <w:szCs w:val="32"/>
          <w:highlight w:val="none"/>
        </w:rPr>
        <w:t>第二章  投标人须知</w:t>
      </w:r>
    </w:p>
    <w:p w14:paraId="65445806">
      <w:pPr>
        <w:pStyle w:val="18"/>
        <w:spacing w:line="360" w:lineRule="auto"/>
        <w:jc w:val="center"/>
        <w:rPr>
          <w:rFonts w:hint="eastAsia" w:hAnsi="宋体" w:cs="宋体"/>
          <w:color w:val="auto"/>
          <w:sz w:val="32"/>
          <w:szCs w:val="32"/>
          <w:highlight w:val="none"/>
        </w:rPr>
      </w:pPr>
      <w:r>
        <w:rPr>
          <w:rFonts w:hint="eastAsia" w:hAnsi="宋体" w:cs="宋体"/>
          <w:b/>
          <w:color w:val="auto"/>
          <w:sz w:val="32"/>
          <w:szCs w:val="32"/>
          <w:highlight w:val="none"/>
        </w:rPr>
        <w:t>投标人须知前附表1</w:t>
      </w:r>
    </w:p>
    <w:p w14:paraId="0E0D4EFD">
      <w:pPr>
        <w:spacing w:line="360" w:lineRule="auto"/>
        <w:ind w:firstLine="527"/>
        <w:rPr>
          <w:rFonts w:hint="eastAsia" w:ascii="宋体" w:hAnsi="宋体" w:cs="宋体"/>
          <w:color w:val="auto"/>
          <w:sz w:val="24"/>
          <w:szCs w:val="24"/>
          <w:highlight w:val="none"/>
        </w:rPr>
      </w:pPr>
      <w:r>
        <w:rPr>
          <w:rFonts w:hint="eastAsia" w:ascii="宋体" w:hAnsi="宋体" w:cs="宋体"/>
          <w:color w:val="auto"/>
          <w:sz w:val="24"/>
          <w:szCs w:val="24"/>
          <w:highlight w:val="none"/>
        </w:rPr>
        <w:t>本须知前附表1的条款号是与</w:t>
      </w:r>
      <w:r>
        <w:rPr>
          <w:rFonts w:ascii="宋体" w:hAnsi="宋体" w:cs="宋体"/>
          <w:color w:val="auto"/>
          <w:sz w:val="24"/>
          <w:szCs w:val="24"/>
          <w:highlight w:val="none"/>
        </w:rPr>
        <w:t>固定部分第二章</w:t>
      </w:r>
      <w:r>
        <w:rPr>
          <w:rFonts w:hint="eastAsia" w:ascii="宋体" w:hAnsi="宋体" w:cs="宋体"/>
          <w:color w:val="auto"/>
          <w:sz w:val="24"/>
          <w:szCs w:val="24"/>
          <w:highlight w:val="none"/>
        </w:rPr>
        <w:t xml:space="preserve">《投标人须知》中条款的项号相对应的。如有矛盾，应以本须知前附表为准。 </w:t>
      </w:r>
    </w:p>
    <w:tbl>
      <w:tblPr>
        <w:tblStyle w:val="13"/>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080"/>
        <w:gridCol w:w="7380"/>
      </w:tblGrid>
      <w:tr w14:paraId="0A22A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tcPr>
          <w:p w14:paraId="7684B3AB">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项号</w:t>
            </w:r>
          </w:p>
        </w:tc>
        <w:tc>
          <w:tcPr>
            <w:tcW w:w="1080" w:type="dxa"/>
          </w:tcPr>
          <w:p w14:paraId="708B5582">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条款号</w:t>
            </w:r>
          </w:p>
        </w:tc>
        <w:tc>
          <w:tcPr>
            <w:tcW w:w="7380" w:type="dxa"/>
          </w:tcPr>
          <w:p w14:paraId="00AF2B0C">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编   列   内    容</w:t>
            </w:r>
          </w:p>
        </w:tc>
      </w:tr>
      <w:tr w14:paraId="0F72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vAlign w:val="center"/>
          </w:tcPr>
          <w:p w14:paraId="60E0FEB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1080" w:type="dxa"/>
            <w:vAlign w:val="center"/>
          </w:tcPr>
          <w:p w14:paraId="3E28E7E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c>
          <w:tcPr>
            <w:tcW w:w="7380" w:type="dxa"/>
            <w:vAlign w:val="center"/>
          </w:tcPr>
          <w:p w14:paraId="71521796">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项目名称：厦门理工学院家具采购 </w:t>
            </w:r>
          </w:p>
          <w:p w14:paraId="6DAE98BF">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采购单位名称：厦门万翔网络商务有限公司</w:t>
            </w:r>
          </w:p>
          <w:p w14:paraId="6DAA3988">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采购单位地址：厦门市湖里区机场北路476号五楼 </w:t>
            </w:r>
          </w:p>
          <w:p w14:paraId="5FE8F0C8">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项目内容：厦门理工学院六期学生公寓家具</w:t>
            </w:r>
          </w:p>
          <w:p w14:paraId="07E543DA">
            <w:pPr>
              <w:spacing w:line="360" w:lineRule="auto"/>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项目编号：XM2026-DZ0001</w:t>
            </w:r>
          </w:p>
          <w:p w14:paraId="344108BB">
            <w:pPr>
              <w:spacing w:line="360" w:lineRule="auto"/>
              <w:rPr>
                <w:rFonts w:hint="eastAsia" w:ascii="宋体" w:hAnsi="宋体" w:cs="宋体"/>
                <w:color w:val="auto"/>
                <w:sz w:val="24"/>
                <w:szCs w:val="24"/>
                <w:highlight w:val="none"/>
                <w:u w:val="single"/>
              </w:rPr>
            </w:pPr>
            <w:r>
              <w:rPr>
                <w:rFonts w:hint="eastAsia" w:ascii="宋体" w:hAnsi="宋体" w:cs="宋体"/>
                <w:color w:val="auto"/>
                <w:sz w:val="24"/>
                <w:szCs w:val="24"/>
                <w:highlight w:val="none"/>
                <w:u w:val="single"/>
              </w:rPr>
              <w:t>采购预算：人民币万元整</w:t>
            </w:r>
          </w:p>
        </w:tc>
      </w:tr>
      <w:tr w14:paraId="50CAE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900" w:type="dxa"/>
            <w:vAlign w:val="center"/>
          </w:tcPr>
          <w:p w14:paraId="53F76B9B">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1080" w:type="dxa"/>
            <w:vAlign w:val="center"/>
          </w:tcPr>
          <w:p w14:paraId="148331BF">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7380" w:type="dxa"/>
            <w:vAlign w:val="center"/>
          </w:tcPr>
          <w:p w14:paraId="5B98A0EA">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资格标准：</w:t>
            </w:r>
          </w:p>
          <w:p w14:paraId="6E4F0AF3">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详见第二章《投标人须知》第3条，以及第三章《招标内容及要求》有关内容。</w:t>
            </w:r>
          </w:p>
        </w:tc>
      </w:tr>
      <w:tr w14:paraId="5AEE7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77A5ACA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1080" w:type="dxa"/>
            <w:vAlign w:val="center"/>
          </w:tcPr>
          <w:p w14:paraId="7611638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11.1</w:t>
            </w:r>
          </w:p>
        </w:tc>
        <w:tc>
          <w:tcPr>
            <w:tcW w:w="7380" w:type="dxa"/>
            <w:vAlign w:val="center"/>
          </w:tcPr>
          <w:p w14:paraId="7AD49F2A">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投标有效期：投标截止之日起</w:t>
            </w:r>
            <w:r>
              <w:rPr>
                <w:rFonts w:hint="eastAsia" w:ascii="宋体" w:hAnsi="宋体" w:cs="宋体"/>
                <w:color w:val="auto"/>
                <w:sz w:val="24"/>
                <w:szCs w:val="24"/>
                <w:highlight w:val="none"/>
                <w:u w:val="single"/>
              </w:rPr>
              <w:t>90</w:t>
            </w:r>
            <w:r>
              <w:rPr>
                <w:rFonts w:hint="eastAsia" w:ascii="宋体" w:hAnsi="宋体" w:cs="宋体"/>
                <w:color w:val="auto"/>
                <w:sz w:val="24"/>
                <w:szCs w:val="24"/>
                <w:highlight w:val="none"/>
              </w:rPr>
              <w:t>个日历日。</w:t>
            </w:r>
          </w:p>
          <w:p w14:paraId="38250638">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有效期不足将导致其投标文件被拒绝。</w:t>
            </w:r>
          </w:p>
        </w:tc>
      </w:tr>
      <w:tr w14:paraId="0BA1A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2C17CB8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1080" w:type="dxa"/>
            <w:vAlign w:val="center"/>
          </w:tcPr>
          <w:p w14:paraId="128054B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w:t>
            </w:r>
          </w:p>
        </w:tc>
        <w:tc>
          <w:tcPr>
            <w:tcW w:w="7380" w:type="dxa"/>
            <w:vAlign w:val="center"/>
          </w:tcPr>
          <w:p w14:paraId="49F4BC25">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投标保证金：</w:t>
            </w:r>
            <w:r>
              <w:rPr>
                <w:rFonts w:hint="eastAsia" w:ascii="宋体" w:hAnsi="宋体" w:cs="宋体"/>
                <w:color w:val="auto"/>
                <w:sz w:val="24"/>
                <w:szCs w:val="24"/>
                <w:highlight w:val="none"/>
                <w:u w:val="single"/>
              </w:rPr>
              <w:t xml:space="preserve">    0元      </w:t>
            </w:r>
          </w:p>
          <w:p w14:paraId="5051937F">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①投标保证金以转账、电汇两种形式提交（不收取现金、现金支票，不能用个人卡在银联支付系统转账，否则作未提交投标保证金处理）。</w:t>
            </w:r>
          </w:p>
          <w:p w14:paraId="2C0E27F1">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②若项目存在分合同包采购的，则投标保证金应按不同的合同包号分别提交。</w:t>
            </w:r>
          </w:p>
          <w:p w14:paraId="5DA0A31D">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③经评审，若所有采购标的均为中小企业（含个体工商户）制造的货物，或者监狱企业提供本单位制造的货物；或者残疾人福利性单位提供本单位制造的货物（或提供其他残疾人福利性单位制造的货物），投标保证金全免交纳。全免交纳投标保证金的投标人应按照招标文件格式要求在投标文件中提供《中小企业声明函》。</w:t>
            </w:r>
          </w:p>
          <w:p w14:paraId="1B1A95CD">
            <w:pPr>
              <w:spacing w:line="360" w:lineRule="auto"/>
              <w:rPr>
                <w:rFonts w:hint="eastAsia" w:ascii="宋体" w:hAnsi="宋体" w:cs="宋体"/>
                <w:color w:val="auto"/>
                <w:kern w:val="0"/>
                <w:sz w:val="24"/>
                <w:szCs w:val="24"/>
                <w:highlight w:val="none"/>
              </w:rPr>
            </w:pPr>
            <w:r>
              <w:rPr>
                <w:rFonts w:hint="eastAsia" w:ascii="宋体" w:hAnsi="宋体" w:cs="宋体"/>
                <w:color w:val="auto"/>
                <w:sz w:val="24"/>
                <w:szCs w:val="24"/>
                <w:highlight w:val="none"/>
              </w:rPr>
              <w:t>④</w:t>
            </w:r>
            <w:r>
              <w:rPr>
                <w:rFonts w:hint="eastAsia" w:ascii="宋体" w:hAnsi="宋体" w:cs="宋体"/>
                <w:color w:val="auto"/>
                <w:kern w:val="0"/>
                <w:sz w:val="24"/>
                <w:szCs w:val="24"/>
                <w:highlight w:val="none"/>
              </w:rPr>
              <w:t>投标保证金应在投标截止时间前到账。</w:t>
            </w:r>
          </w:p>
          <w:p w14:paraId="32692CC7">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未按前述规定缴交投标保证金的，投标无效。</w:t>
            </w:r>
          </w:p>
          <w:p w14:paraId="6AC0E109">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⑤投标保证金按投标人缴交账号原路退回，遇投标人账号变更、非投标保证金款项误转进投标保证金专户等特殊情况确实无法原路退回的，需经同级政府采购监管部门核实后方可退回。</w:t>
            </w:r>
          </w:p>
        </w:tc>
      </w:tr>
      <w:tr w14:paraId="6689D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75ED70E5">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1080" w:type="dxa"/>
            <w:vAlign w:val="center"/>
          </w:tcPr>
          <w:p w14:paraId="063E925B">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19.1</w:t>
            </w:r>
          </w:p>
        </w:tc>
        <w:tc>
          <w:tcPr>
            <w:tcW w:w="7380" w:type="dxa"/>
            <w:vAlign w:val="center"/>
          </w:tcPr>
          <w:p w14:paraId="69224865">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评标方法、标准及定标原则(含推荐中标候选供应商数量)：</w:t>
            </w:r>
          </w:p>
          <w:p w14:paraId="28B33D6D">
            <w:pPr>
              <w:pStyle w:val="7"/>
              <w:spacing w:line="360" w:lineRule="auto"/>
              <w:rPr>
                <w:rFonts w:hint="eastAsia" w:hAnsi="宋体" w:cs="宋体"/>
                <w:color w:val="auto"/>
                <w:sz w:val="24"/>
                <w:szCs w:val="24"/>
                <w:highlight w:val="none"/>
              </w:rPr>
            </w:pPr>
            <w:r>
              <w:rPr>
                <w:rFonts w:hint="eastAsia" w:hAnsi="宋体" w:cs="宋体"/>
                <w:color w:val="auto"/>
                <w:sz w:val="24"/>
                <w:szCs w:val="24"/>
                <w:highlight w:val="none"/>
              </w:rPr>
              <w:t>详见《投标人须知前附表3》。</w:t>
            </w:r>
          </w:p>
        </w:tc>
      </w:tr>
      <w:tr w14:paraId="51B2F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46914E5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1080" w:type="dxa"/>
            <w:vAlign w:val="center"/>
          </w:tcPr>
          <w:p w14:paraId="685DD976">
            <w:pPr>
              <w:spacing w:line="360" w:lineRule="auto"/>
              <w:ind w:right="-63" w:rightChars="-30"/>
              <w:rPr>
                <w:rFonts w:hint="eastAsia" w:ascii="宋体" w:hAnsi="宋体" w:cs="宋体"/>
                <w:color w:val="auto"/>
                <w:sz w:val="24"/>
                <w:szCs w:val="24"/>
                <w:highlight w:val="none"/>
              </w:rPr>
            </w:pPr>
            <w:r>
              <w:rPr>
                <w:rFonts w:hint="eastAsia" w:ascii="宋体" w:hAnsi="宋体" w:cs="宋体"/>
                <w:color w:val="auto"/>
                <w:sz w:val="24"/>
                <w:szCs w:val="24"/>
                <w:highlight w:val="none"/>
              </w:rPr>
              <w:t>12.9</w:t>
            </w:r>
          </w:p>
        </w:tc>
        <w:tc>
          <w:tcPr>
            <w:tcW w:w="7380" w:type="dxa"/>
            <w:vAlign w:val="center"/>
          </w:tcPr>
          <w:p w14:paraId="0FB06A11">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代理服务费：</w:t>
            </w:r>
          </w:p>
          <w:p w14:paraId="6E958A44">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1、代理服务费收费标准：</w:t>
            </w:r>
          </w:p>
          <w:tbl>
            <w:tblPr>
              <w:tblStyle w:val="13"/>
              <w:tblW w:w="5021"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1"/>
              <w:gridCol w:w="2700"/>
            </w:tblGrid>
            <w:tr w14:paraId="02748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5F7E8959">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中标金额(万元)</w:t>
                  </w:r>
                </w:p>
              </w:tc>
              <w:tc>
                <w:tcPr>
                  <w:tcW w:w="2700" w:type="dxa"/>
                </w:tcPr>
                <w:p w14:paraId="698141A2">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费率</w:t>
                  </w:r>
                </w:p>
              </w:tc>
            </w:tr>
            <w:tr w14:paraId="39DE6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41EC249D">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[0―100]</w:t>
                  </w:r>
                </w:p>
              </w:tc>
              <w:tc>
                <w:tcPr>
                  <w:tcW w:w="2700" w:type="dxa"/>
                </w:tcPr>
                <w:p w14:paraId="6FFCCB1C">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1.5%</w:t>
                  </w:r>
                </w:p>
              </w:tc>
            </w:tr>
            <w:tr w14:paraId="31145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4CDD2DBD">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（100－500]</w:t>
                  </w:r>
                </w:p>
              </w:tc>
              <w:tc>
                <w:tcPr>
                  <w:tcW w:w="2700" w:type="dxa"/>
                </w:tcPr>
                <w:p w14:paraId="1798B318">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r>
            <w:tr w14:paraId="26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3CAC793B">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（500-1000]</w:t>
                  </w:r>
                </w:p>
              </w:tc>
              <w:tc>
                <w:tcPr>
                  <w:tcW w:w="2700" w:type="dxa"/>
                </w:tcPr>
                <w:p w14:paraId="2AE95888">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0.8%</w:t>
                  </w:r>
                </w:p>
              </w:tc>
            </w:tr>
            <w:tr w14:paraId="5A892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2371CD12">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（1000-5000]</w:t>
                  </w:r>
                </w:p>
              </w:tc>
              <w:tc>
                <w:tcPr>
                  <w:tcW w:w="2700" w:type="dxa"/>
                </w:tcPr>
                <w:p w14:paraId="62DE9E30">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0.5%</w:t>
                  </w:r>
                </w:p>
              </w:tc>
            </w:tr>
            <w:tr w14:paraId="4E6CA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13E29F00">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（5000-10000]</w:t>
                  </w:r>
                </w:p>
              </w:tc>
              <w:tc>
                <w:tcPr>
                  <w:tcW w:w="2700" w:type="dxa"/>
                </w:tcPr>
                <w:p w14:paraId="2EA06086">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0.25%</w:t>
                  </w:r>
                </w:p>
              </w:tc>
            </w:tr>
            <w:tr w14:paraId="3715A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566C37F7">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（10000-50000]</w:t>
                  </w:r>
                </w:p>
              </w:tc>
              <w:tc>
                <w:tcPr>
                  <w:tcW w:w="2700" w:type="dxa"/>
                </w:tcPr>
                <w:p w14:paraId="6FD98B95">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0.05%</w:t>
                  </w:r>
                </w:p>
              </w:tc>
            </w:tr>
            <w:tr w14:paraId="406BF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71CE822F">
                  <w:pPr>
                    <w:adjustRightInd w:val="0"/>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（50000-100000]</w:t>
                  </w:r>
                </w:p>
              </w:tc>
              <w:tc>
                <w:tcPr>
                  <w:tcW w:w="2700" w:type="dxa"/>
                </w:tcPr>
                <w:p w14:paraId="129ED0AF">
                  <w:pPr>
                    <w:adjustRightInd w:val="0"/>
                    <w:snapToGrid w:val="0"/>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0.035%</w:t>
                  </w:r>
                </w:p>
              </w:tc>
            </w:tr>
          </w:tbl>
          <w:p w14:paraId="07D0067E">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注：1、代理服务费的收取按差额定率累进法计算,由中标供应商支付。</w:t>
            </w:r>
          </w:p>
          <w:p w14:paraId="02B10537">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2、中标供应商以转账或汇款方式提交。</w:t>
            </w:r>
          </w:p>
          <w:p w14:paraId="639B28C7">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3、经评审，若所有采购标的均为中小企业（含个体工商户）制造的货物，或者监狱企业提供本单位制造的货物；或者残疾人福利性单位提供本单位制造的货物（或提供其他残疾人福利性单位制造的货物），代理服务费按照上述服务收费标准下浮10%进行支付。</w:t>
            </w:r>
          </w:p>
        </w:tc>
      </w:tr>
      <w:tr w14:paraId="054EE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14:paraId="405E11C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1080" w:type="dxa"/>
            <w:tcBorders>
              <w:top w:val="single" w:color="auto" w:sz="4" w:space="0"/>
              <w:left w:val="single" w:color="auto" w:sz="4" w:space="0"/>
              <w:bottom w:val="single" w:color="auto" w:sz="4" w:space="0"/>
              <w:right w:val="single" w:color="auto" w:sz="4" w:space="0"/>
            </w:tcBorders>
            <w:vAlign w:val="center"/>
          </w:tcPr>
          <w:p w14:paraId="6DE44FF3">
            <w:pPr>
              <w:spacing w:line="360" w:lineRule="auto"/>
              <w:jc w:val="center"/>
              <w:rPr>
                <w:rFonts w:hint="eastAsia"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14:paraId="13FFD242">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监督管理部门：厦门市财政局。</w:t>
            </w:r>
          </w:p>
        </w:tc>
      </w:tr>
      <w:tr w14:paraId="746CB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14:paraId="2730504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1080" w:type="dxa"/>
            <w:tcBorders>
              <w:top w:val="single" w:color="auto" w:sz="4" w:space="0"/>
              <w:left w:val="single" w:color="auto" w:sz="4" w:space="0"/>
              <w:bottom w:val="single" w:color="auto" w:sz="4" w:space="0"/>
              <w:right w:val="single" w:color="auto" w:sz="4" w:space="0"/>
            </w:tcBorders>
            <w:vAlign w:val="center"/>
          </w:tcPr>
          <w:p w14:paraId="6F464A5E">
            <w:pPr>
              <w:spacing w:line="360" w:lineRule="auto"/>
              <w:jc w:val="center"/>
              <w:rPr>
                <w:rFonts w:hint="eastAsia"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14:paraId="519A04C6">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是否允许进口产品参加本采购项目：</w:t>
            </w:r>
            <w:r>
              <w:rPr>
                <w:rFonts w:hint="eastAsia" w:ascii="宋体" w:hAnsi="宋体" w:cs="宋体"/>
                <w:b/>
                <w:color w:val="auto"/>
                <w:sz w:val="24"/>
                <w:szCs w:val="24"/>
                <w:highlight w:val="none"/>
              </w:rPr>
              <w:t>□</w:t>
            </w:r>
            <w:r>
              <w:rPr>
                <w:rFonts w:hint="eastAsia" w:ascii="宋体" w:hAnsi="宋体" w:cs="宋体"/>
                <w:color w:val="auto"/>
                <w:sz w:val="24"/>
                <w:szCs w:val="24"/>
                <w:highlight w:val="none"/>
              </w:rPr>
              <w:t xml:space="preserve">是/ </w:t>
            </w:r>
            <w:r>
              <w:rPr>
                <w:rFonts w:hint="eastAsia" w:ascii="宋体" w:hAnsi="宋体" w:cs="宋体"/>
                <w:color w:val="auto"/>
                <w:sz w:val="24"/>
                <w:szCs w:val="24"/>
                <w:highlight w:val="none"/>
              </w:rPr>
              <w:fldChar w:fldCharType="begin"/>
            </w:r>
            <w:r>
              <w:rPr>
                <w:rFonts w:hint="eastAsia" w:ascii="宋体" w:hAnsi="宋体" w:cs="宋体"/>
                <w:color w:val="auto"/>
                <w:sz w:val="24"/>
                <w:szCs w:val="24"/>
                <w:highlight w:val="none"/>
              </w:rPr>
              <w:instrText xml:space="preserve"> eq \o\ac(</w:instrText>
            </w:r>
            <w:r>
              <w:rPr>
                <w:rFonts w:hint="eastAsia" w:ascii="宋体" w:hAnsi="宋体" w:cs="宋体"/>
                <w:color w:val="auto"/>
                <w:position w:val="-4"/>
                <w:sz w:val="36"/>
                <w:szCs w:val="24"/>
                <w:highlight w:val="none"/>
              </w:rPr>
              <w:instrText xml:space="preserve">□</w:instrText>
            </w:r>
            <w:r>
              <w:rPr>
                <w:rFonts w:hint="eastAsia" w:ascii="宋体" w:hAnsi="宋体" w:cs="宋体"/>
                <w:color w:val="auto"/>
                <w:sz w:val="24"/>
                <w:szCs w:val="24"/>
                <w:highlight w:val="none"/>
              </w:rPr>
              <w:instrText xml:space="preserve">,√)</w:instrTex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否</w:t>
            </w:r>
          </w:p>
        </w:tc>
      </w:tr>
      <w:tr w14:paraId="58B32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14:paraId="5DD79F9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1080" w:type="dxa"/>
            <w:tcBorders>
              <w:top w:val="single" w:color="auto" w:sz="4" w:space="0"/>
              <w:left w:val="single" w:color="auto" w:sz="4" w:space="0"/>
              <w:bottom w:val="single" w:color="auto" w:sz="4" w:space="0"/>
              <w:right w:val="single" w:color="auto" w:sz="4" w:space="0"/>
            </w:tcBorders>
            <w:vAlign w:val="center"/>
          </w:tcPr>
          <w:p w14:paraId="66045806">
            <w:pPr>
              <w:spacing w:line="360" w:lineRule="auto"/>
              <w:jc w:val="center"/>
              <w:rPr>
                <w:rFonts w:hint="eastAsia"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14:paraId="561BEF62">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1、关于证明材料或资料：</w:t>
            </w:r>
          </w:p>
          <w:p w14:paraId="55627D00">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a.招标文件要求原件的，投标人在电子投标文件中可提供</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，但同时应准备好原件备查（未能在规定时间内提供原件核查的，将按不利于投标人进行评审）；招标文件要求</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的，投标人在电子投标文件中提供原件、</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皆可；招标文件对原件、</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未作要求的，投标人在电子投标文件中提供原件、</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皆可。</w:t>
            </w:r>
          </w:p>
          <w:p w14:paraId="2BFA516D">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b.若投标人提供注明“</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无效”或“复印无效”的证明材料或资料，应结合上文a条款进行判定，若招标文件未要求投标人提供原件，投标人提供原件，</w:t>
            </w:r>
            <w:r>
              <w:rPr>
                <w:rFonts w:hint="eastAsia" w:ascii="宋体" w:hAnsi="宋体" w:cs="宋体"/>
                <w:color w:val="auto"/>
                <w:kern w:val="0"/>
                <w:sz w:val="24"/>
                <w:szCs w:val="24"/>
                <w:highlight w:val="none"/>
                <w:lang w:eastAsia="zh-CN"/>
              </w:rPr>
              <w:t>复印件（含扫描件）</w:t>
            </w:r>
            <w:r>
              <w:rPr>
                <w:rFonts w:hint="eastAsia" w:ascii="宋体" w:hAnsi="宋体" w:cs="宋体"/>
                <w:color w:val="auto"/>
                <w:kern w:val="0"/>
                <w:sz w:val="24"/>
                <w:szCs w:val="24"/>
                <w:highlight w:val="none"/>
              </w:rPr>
              <w:t>均视为满足招标文件要求。</w:t>
            </w:r>
          </w:p>
          <w:p w14:paraId="78B9FE26">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2、关于“全称”、“投标人代表签字”及“加盖单位公章”：</w:t>
            </w:r>
          </w:p>
          <w:p w14:paraId="7EBAD389">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a.在电子投标文件中，涉及“全称”和“投标人代表签字”的内容可使用打字录入方式完成。</w:t>
            </w:r>
          </w:p>
          <w:p w14:paraId="28C1306B">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b.在电子投标文件中，涉及“加盖单位公章”的内容应使用投标人的CA证书完成，否则投标无效。</w:t>
            </w:r>
          </w:p>
          <w:p w14:paraId="6B2987D4">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c.在电子投标文件中，若投标人按照第b项规定加盖其单位公章，则出现无全称、或投标人代表未签字等情形，不视为投标无效。</w:t>
            </w:r>
          </w:p>
          <w:p w14:paraId="64EB857C">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3、关于投标截止时间过后，有下列情形之一的，其投标无效,其保证金不予退还：</w:t>
            </w:r>
          </w:p>
          <w:p w14:paraId="53737106">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a.不同投标人的电子投标文件具有相同内部识别码；</w:t>
            </w:r>
          </w:p>
          <w:p w14:paraId="653AAF54">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b.投标人的投标保证金同一采购包下有其他投标人提交的投标保证金；</w:t>
            </w:r>
          </w:p>
          <w:p w14:paraId="58D959FE">
            <w:pPr>
              <w:spacing w:line="360" w:lineRule="auto"/>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c.不同投标人存在串通投标的其他情形。</w:t>
            </w:r>
          </w:p>
          <w:p w14:paraId="0CB87AA9">
            <w:pPr>
              <w:spacing w:line="360" w:lineRule="auto"/>
              <w:rPr>
                <w:rFonts w:hint="eastAsia" w:ascii="宋体" w:hAnsi="宋体" w:cs="宋体"/>
                <w:color w:val="auto"/>
                <w:sz w:val="24"/>
                <w:szCs w:val="24"/>
                <w:highlight w:val="none"/>
              </w:rPr>
            </w:pPr>
          </w:p>
        </w:tc>
      </w:tr>
    </w:tbl>
    <w:p w14:paraId="121BCCC3">
      <w:pPr>
        <w:tabs>
          <w:tab w:val="left" w:pos="-1080"/>
          <w:tab w:val="left" w:pos="180"/>
          <w:tab w:val="left" w:pos="1080"/>
        </w:tabs>
        <w:spacing w:line="360" w:lineRule="auto"/>
        <w:rPr>
          <w:rFonts w:hint="eastAsia" w:ascii="宋体" w:hAnsi="宋体" w:cs="宋体"/>
          <w:b/>
          <w:color w:val="auto"/>
          <w:sz w:val="24"/>
          <w:szCs w:val="24"/>
          <w:highlight w:val="none"/>
        </w:rPr>
      </w:pPr>
    </w:p>
    <w:p w14:paraId="097725C6">
      <w:pPr>
        <w:spacing w:line="360" w:lineRule="auto"/>
        <w:jc w:val="center"/>
        <w:rPr>
          <w:rFonts w:hint="eastAsia" w:ascii="宋体" w:hAnsi="宋体" w:cs="宋体"/>
          <w:b/>
          <w:bCs/>
          <w:color w:val="auto"/>
          <w:sz w:val="24"/>
          <w:szCs w:val="24"/>
          <w:highlight w:val="none"/>
          <w:u w:val="single"/>
        </w:rPr>
      </w:pPr>
    </w:p>
    <w:p w14:paraId="7D0030B2">
      <w:pPr>
        <w:spacing w:line="360" w:lineRule="auto"/>
        <w:jc w:val="center"/>
        <w:rPr>
          <w:rFonts w:hint="eastAsia" w:ascii="宋体" w:hAnsi="宋体" w:cs="宋体"/>
          <w:b/>
          <w:bCs/>
          <w:color w:val="auto"/>
          <w:sz w:val="24"/>
          <w:szCs w:val="24"/>
          <w:highlight w:val="none"/>
          <w:u w:val="single"/>
        </w:rPr>
      </w:pPr>
    </w:p>
    <w:p w14:paraId="16912DCE">
      <w:pPr>
        <w:spacing w:line="360" w:lineRule="auto"/>
        <w:jc w:val="center"/>
        <w:rPr>
          <w:rFonts w:hint="eastAsia" w:ascii="宋体" w:hAnsi="宋体" w:cs="宋体"/>
          <w:b/>
          <w:bCs/>
          <w:color w:val="auto"/>
          <w:sz w:val="24"/>
          <w:szCs w:val="24"/>
          <w:highlight w:val="none"/>
          <w:u w:val="single"/>
        </w:rPr>
      </w:pPr>
    </w:p>
    <w:p w14:paraId="099B6F0A">
      <w:pPr>
        <w:spacing w:line="360" w:lineRule="auto"/>
        <w:jc w:val="center"/>
        <w:rPr>
          <w:rFonts w:hint="eastAsia" w:ascii="宋体" w:hAnsi="宋体" w:cs="宋体"/>
          <w:b/>
          <w:bCs/>
          <w:color w:val="auto"/>
          <w:sz w:val="24"/>
          <w:szCs w:val="24"/>
          <w:highlight w:val="none"/>
          <w:u w:val="single"/>
        </w:rPr>
      </w:pPr>
    </w:p>
    <w:p w14:paraId="7C8F3FE7">
      <w:pPr>
        <w:spacing w:line="360" w:lineRule="auto"/>
        <w:jc w:val="center"/>
        <w:rPr>
          <w:rFonts w:hint="eastAsia" w:ascii="宋体" w:hAnsi="宋体" w:cs="宋体"/>
          <w:b/>
          <w:bCs/>
          <w:color w:val="auto"/>
          <w:sz w:val="24"/>
          <w:szCs w:val="24"/>
          <w:highlight w:val="none"/>
          <w:u w:val="single"/>
        </w:rPr>
      </w:pPr>
    </w:p>
    <w:p w14:paraId="2E1E6CFD">
      <w:pPr>
        <w:spacing w:line="360" w:lineRule="auto"/>
        <w:jc w:val="center"/>
        <w:rPr>
          <w:rFonts w:hint="eastAsia" w:ascii="宋体" w:hAnsi="宋体" w:cs="宋体"/>
          <w:b/>
          <w:bCs/>
          <w:color w:val="auto"/>
          <w:sz w:val="24"/>
          <w:szCs w:val="24"/>
          <w:highlight w:val="none"/>
          <w:u w:val="single"/>
        </w:rPr>
      </w:pPr>
    </w:p>
    <w:p w14:paraId="18160292">
      <w:pPr>
        <w:spacing w:line="360" w:lineRule="auto"/>
        <w:jc w:val="center"/>
        <w:rPr>
          <w:rFonts w:hint="eastAsia" w:ascii="宋体" w:hAnsi="宋体" w:cs="宋体"/>
          <w:b/>
          <w:bCs/>
          <w:color w:val="auto"/>
          <w:sz w:val="32"/>
          <w:szCs w:val="32"/>
          <w:highlight w:val="none"/>
          <w:u w:val="single"/>
        </w:rPr>
      </w:pPr>
    </w:p>
    <w:p w14:paraId="6549226A">
      <w:pPr>
        <w:spacing w:line="360" w:lineRule="auto"/>
        <w:jc w:val="center"/>
        <w:rPr>
          <w:rFonts w:hint="eastAsia" w:ascii="宋体" w:hAnsi="宋体" w:cs="宋体"/>
          <w:b/>
          <w:bCs/>
          <w:color w:val="auto"/>
          <w:sz w:val="32"/>
          <w:szCs w:val="32"/>
          <w:highlight w:val="none"/>
          <w:u w:val="single"/>
        </w:rPr>
      </w:pPr>
    </w:p>
    <w:p w14:paraId="2F516201">
      <w:pPr>
        <w:spacing w:line="360" w:lineRule="auto"/>
        <w:ind w:firstLine="1285" w:firstLineChars="400"/>
        <w:rPr>
          <w:rFonts w:hint="eastAsia" w:ascii="宋体" w:hAnsi="宋体" w:cs="宋体"/>
          <w:b/>
          <w:bCs/>
          <w:color w:val="auto"/>
          <w:sz w:val="32"/>
          <w:szCs w:val="32"/>
          <w:highlight w:val="none"/>
          <w:u w:val="single"/>
        </w:rPr>
      </w:pPr>
    </w:p>
    <w:p w14:paraId="370F993F">
      <w:pPr>
        <w:spacing w:line="360" w:lineRule="auto"/>
        <w:ind w:firstLine="1285" w:firstLineChars="400"/>
        <w:rPr>
          <w:rFonts w:hint="eastAsia" w:ascii="宋体" w:hAnsi="宋体" w:cs="宋体"/>
          <w:b/>
          <w:bCs/>
          <w:color w:val="auto"/>
          <w:sz w:val="32"/>
          <w:szCs w:val="32"/>
          <w:highlight w:val="none"/>
          <w:u w:val="single"/>
        </w:rPr>
      </w:pPr>
    </w:p>
    <w:p w14:paraId="05E53D9E">
      <w:pPr>
        <w:spacing w:line="360" w:lineRule="auto"/>
        <w:ind w:firstLine="1285" w:firstLineChars="400"/>
        <w:rPr>
          <w:rFonts w:hint="eastAsia" w:ascii="宋体" w:hAnsi="宋体" w:cs="宋体"/>
          <w:b/>
          <w:bCs/>
          <w:color w:val="auto"/>
          <w:sz w:val="32"/>
          <w:szCs w:val="32"/>
          <w:highlight w:val="none"/>
          <w:u w:val="single"/>
        </w:rPr>
      </w:pPr>
      <w:r>
        <w:rPr>
          <w:rFonts w:hint="eastAsia" w:ascii="宋体" w:hAnsi="宋体" w:cs="宋体"/>
          <w:b/>
          <w:bCs/>
          <w:color w:val="auto"/>
          <w:sz w:val="32"/>
          <w:szCs w:val="32"/>
          <w:highlight w:val="none"/>
          <w:u w:val="single"/>
        </w:rPr>
        <w:t>投标人须知前附表2:资格性、符合性检查表</w:t>
      </w:r>
    </w:p>
    <w:p w14:paraId="6E8AF28C">
      <w:pPr>
        <w:spacing w:line="360" w:lineRule="auto"/>
        <w:ind w:firstLine="527"/>
        <w:rPr>
          <w:rFonts w:hint="eastAsia" w:ascii="宋体" w:hAnsi="宋体" w:cs="宋体"/>
          <w:color w:val="auto"/>
          <w:sz w:val="24"/>
          <w:szCs w:val="24"/>
          <w:highlight w:val="none"/>
        </w:rPr>
      </w:pPr>
      <w:r>
        <w:rPr>
          <w:rFonts w:hint="eastAsia" w:ascii="宋体" w:hAnsi="宋体" w:cs="宋体"/>
          <w:color w:val="auto"/>
          <w:sz w:val="24"/>
          <w:szCs w:val="24"/>
          <w:highlight w:val="none"/>
        </w:rPr>
        <w:t>本须知前附表2集中列示了符合性检查的所有条款，其内容是评标委员会在评审过程中判断投标人的投标是否有效的重要依据。本须知前附表</w:t>
      </w:r>
      <w:r>
        <w:rPr>
          <w:rFonts w:ascii="宋体" w:hAnsi="宋体" w:cs="宋体"/>
          <w:color w:val="auto"/>
          <w:sz w:val="24"/>
          <w:szCs w:val="24"/>
          <w:highlight w:val="none"/>
        </w:rPr>
        <w:t>2</w:t>
      </w:r>
      <w:r>
        <w:rPr>
          <w:rFonts w:hint="eastAsia" w:ascii="宋体" w:hAnsi="宋体" w:cs="宋体"/>
          <w:color w:val="auto"/>
          <w:sz w:val="24"/>
          <w:szCs w:val="24"/>
          <w:highlight w:val="none"/>
        </w:rPr>
        <w:t>的条款号是与</w:t>
      </w:r>
      <w:r>
        <w:rPr>
          <w:rFonts w:ascii="宋体" w:hAnsi="宋体" w:cs="宋体"/>
          <w:color w:val="auto"/>
          <w:sz w:val="24"/>
          <w:szCs w:val="24"/>
          <w:highlight w:val="none"/>
        </w:rPr>
        <w:t>固定部分第二章</w:t>
      </w:r>
      <w:r>
        <w:rPr>
          <w:rFonts w:hint="eastAsia" w:ascii="宋体" w:hAnsi="宋体" w:cs="宋体"/>
          <w:color w:val="auto"/>
          <w:sz w:val="24"/>
          <w:szCs w:val="24"/>
          <w:highlight w:val="none"/>
        </w:rPr>
        <w:t xml:space="preserve">《投标人须知》中条款的项号相对应的。如有矛盾，应以本须知前附表为准。 </w:t>
      </w:r>
    </w:p>
    <w:p w14:paraId="544FCA5F">
      <w:pPr>
        <w:spacing w:line="360" w:lineRule="auto"/>
        <w:ind w:firstLine="495"/>
        <w:rPr>
          <w:rFonts w:hint="eastAsia" w:ascii="宋体" w:hAnsi="宋体" w:cs="宋体"/>
          <w:color w:val="auto"/>
          <w:sz w:val="24"/>
          <w:szCs w:val="24"/>
          <w:highlight w:val="none"/>
        </w:rPr>
      </w:pPr>
    </w:p>
    <w:tbl>
      <w:tblPr>
        <w:tblStyle w:val="13"/>
        <w:tblW w:w="8739" w:type="dxa"/>
        <w:tblInd w:w="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696"/>
        <w:gridCol w:w="1422"/>
        <w:gridCol w:w="5925"/>
      </w:tblGrid>
      <w:tr w14:paraId="62930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9" w:type="dxa"/>
            <w:gridSpan w:val="4"/>
          </w:tcPr>
          <w:p w14:paraId="374FF149">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资格性要求</w:t>
            </w:r>
          </w:p>
        </w:tc>
      </w:tr>
      <w:tr w14:paraId="07BEF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23854068">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项</w:t>
            </w:r>
          </w:p>
          <w:p w14:paraId="4BFCAE95">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号</w:t>
            </w:r>
          </w:p>
        </w:tc>
        <w:tc>
          <w:tcPr>
            <w:tcW w:w="696" w:type="dxa"/>
            <w:tcBorders>
              <w:bottom w:val="single" w:color="auto" w:sz="4" w:space="0"/>
            </w:tcBorders>
            <w:vAlign w:val="center"/>
          </w:tcPr>
          <w:p w14:paraId="09854A5D">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章</w:t>
            </w:r>
          </w:p>
        </w:tc>
        <w:tc>
          <w:tcPr>
            <w:tcW w:w="1422" w:type="dxa"/>
            <w:tcBorders>
              <w:bottom w:val="single" w:color="auto" w:sz="4" w:space="0"/>
            </w:tcBorders>
            <w:vAlign w:val="center"/>
          </w:tcPr>
          <w:p w14:paraId="63E29BF5">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条款号</w:t>
            </w:r>
          </w:p>
        </w:tc>
        <w:tc>
          <w:tcPr>
            <w:tcW w:w="5925" w:type="dxa"/>
            <w:tcBorders>
              <w:bottom w:val="single" w:color="auto" w:sz="4" w:space="0"/>
            </w:tcBorders>
            <w:vAlign w:val="center"/>
          </w:tcPr>
          <w:p w14:paraId="6F32C4BE">
            <w:pPr>
              <w:tabs>
                <w:tab w:val="left" w:pos="2848"/>
              </w:tabs>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具体内容</w:t>
            </w:r>
          </w:p>
        </w:tc>
      </w:tr>
      <w:tr w14:paraId="05CF6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73CDA0C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vAlign w:val="center"/>
          </w:tcPr>
          <w:p w14:paraId="3148D1B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620433E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5925" w:type="dxa"/>
            <w:tcBorders>
              <w:top w:val="single" w:color="auto" w:sz="4" w:space="0"/>
              <w:left w:val="single" w:color="auto" w:sz="4" w:space="0"/>
              <w:bottom w:val="single" w:color="auto" w:sz="4" w:space="0"/>
              <w:right w:val="single" w:color="auto" w:sz="4" w:space="0"/>
            </w:tcBorders>
            <w:vAlign w:val="center"/>
          </w:tcPr>
          <w:p w14:paraId="6D49AD6A">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合格的投标人</w:t>
            </w:r>
          </w:p>
          <w:p w14:paraId="28B0D9DA">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具体内容详见第二章第3条“合格的投标人”。</w:t>
            </w:r>
          </w:p>
        </w:tc>
      </w:tr>
      <w:tr w14:paraId="2D2C9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699CDE5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vAlign w:val="center"/>
          </w:tcPr>
          <w:p w14:paraId="5AAA093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3A7A24D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3.1</w:t>
            </w:r>
          </w:p>
        </w:tc>
        <w:tc>
          <w:tcPr>
            <w:tcW w:w="5925" w:type="dxa"/>
            <w:tcBorders>
              <w:top w:val="single" w:color="auto" w:sz="4" w:space="0"/>
              <w:left w:val="single" w:color="auto" w:sz="4" w:space="0"/>
              <w:bottom w:val="single" w:color="auto" w:sz="4" w:space="0"/>
              <w:right w:val="single" w:color="auto" w:sz="4" w:space="0"/>
            </w:tcBorders>
            <w:vAlign w:val="center"/>
          </w:tcPr>
          <w:p w14:paraId="5BF3EB2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3.1凡有能力提供本招标文件所述货物及服务的，具备《中华人民共和国政府采购法》第二十二条第一款规定的条件且符合本招标文件规定资格要求的境内供货商或制造商均可能成为合格的投标人。</w:t>
            </w:r>
          </w:p>
          <w:p w14:paraId="78E02F8D">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投标人应具备《中华人民共和国政府采购法》第二十二条第一款规定的条件，并提供以下材料：</w:t>
            </w:r>
          </w:p>
          <w:p w14:paraId="0F3DF6D4">
            <w:pPr>
              <w:spacing w:line="360" w:lineRule="auto"/>
              <w:ind w:firstLine="319" w:firstLineChars="133"/>
              <w:rPr>
                <w:rFonts w:hint="eastAsia" w:ascii="宋体" w:hAnsi="宋体" w:cs="宋体"/>
                <w:color w:val="auto"/>
                <w:sz w:val="24"/>
                <w:szCs w:val="24"/>
                <w:highlight w:val="none"/>
              </w:rPr>
            </w:pPr>
            <w:r>
              <w:rPr>
                <w:rFonts w:hint="eastAsia" w:ascii="宋体" w:hAnsi="宋体" w:cs="宋体"/>
                <w:color w:val="auto"/>
                <w:sz w:val="24"/>
                <w:szCs w:val="24"/>
                <w:highlight w:val="none"/>
              </w:rPr>
              <w:t>（1）法人或者其他组织的营业执照等证明文件，自然人的身份证明；</w:t>
            </w:r>
          </w:p>
          <w:p w14:paraId="16D7AB44">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投标人是法人或者其他组织的应提供营业执照等证明文件，投标人是自然人的应提供有效的自然人身份证明。</w:t>
            </w:r>
          </w:p>
          <w:p w14:paraId="5BCBEC81">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（2）投标人已提供加载有统一社会信用代码营业执照的，视为已提供税务登记证和组织机构代码证。</w:t>
            </w:r>
          </w:p>
          <w:p w14:paraId="3F3B6809">
            <w:pP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（3）按要求提供福建省政府采购供应商资格承诺函。</w:t>
            </w:r>
          </w:p>
        </w:tc>
      </w:tr>
      <w:tr w14:paraId="7459C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76B93D35">
            <w:pPr>
              <w:spacing w:line="360" w:lineRule="auto"/>
              <w:ind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vAlign w:val="center"/>
          </w:tcPr>
          <w:p w14:paraId="4B82D28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341FA87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3.5</w:t>
            </w:r>
          </w:p>
        </w:tc>
        <w:tc>
          <w:tcPr>
            <w:tcW w:w="5925" w:type="dxa"/>
            <w:tcBorders>
              <w:top w:val="single" w:color="auto" w:sz="4" w:space="0"/>
              <w:left w:val="single" w:color="auto" w:sz="4" w:space="0"/>
              <w:bottom w:val="single" w:color="auto" w:sz="4" w:space="0"/>
              <w:right w:val="single" w:color="auto" w:sz="4" w:space="0"/>
            </w:tcBorders>
            <w:vAlign w:val="center"/>
          </w:tcPr>
          <w:p w14:paraId="2EE9D7BC">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3.5如本项目接受联合体投标，则两个或者两个以上投标人可以组成一个投标联合体，以一个投标人的身份投标。</w:t>
            </w:r>
          </w:p>
          <w:p w14:paraId="5B5F9E8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以联合体形式参加投标的，联合体各方均应当符合合格的投标人相关规定。采购单位根据采购项目的特殊要求规定投标人特定条件的，联合体各方中至少应当有一方符合采购单位规定的特定条件，如联合体各方中没有一方符合特定条件的，该联合体投标无效。</w:t>
            </w:r>
          </w:p>
          <w:p w14:paraId="7D4131F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联合体各方之间应当签订共同投标协议，明确约定联合体各方承担的工作和相应的责任，并将共同投标协议连同投标文件一并提交招标代理机构。联合体各方签订共同投标协议后，不得再以自己名义单独在同一项目中投标，也不得组成新的联合体参加同一项目投标。</w:t>
            </w:r>
          </w:p>
          <w:p w14:paraId="3495972E">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（3）项目如涉及资质要求，该部分内容应由联合体中具有该资质要求的投标人承担。联合体协议及签订的采购合同应包含此项内容。</w:t>
            </w:r>
          </w:p>
          <w:p w14:paraId="26E11ED1">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（4）联合体中有同类资质的投标人按照联合体分工承担相同工作的，应当按照资质等级较低的投标人确定资质等级。</w:t>
            </w:r>
          </w:p>
        </w:tc>
      </w:tr>
      <w:tr w14:paraId="28084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9D1162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vAlign w:val="center"/>
          </w:tcPr>
          <w:p w14:paraId="4F891B3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1DD80BE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3.6</w:t>
            </w:r>
          </w:p>
        </w:tc>
        <w:tc>
          <w:tcPr>
            <w:tcW w:w="5925" w:type="dxa"/>
            <w:tcBorders>
              <w:top w:val="single" w:color="auto" w:sz="4" w:space="0"/>
              <w:left w:val="single" w:color="auto" w:sz="4" w:space="0"/>
              <w:bottom w:val="single" w:color="auto" w:sz="4" w:space="0"/>
              <w:right w:val="single" w:color="auto" w:sz="4" w:space="0"/>
            </w:tcBorders>
            <w:vAlign w:val="center"/>
          </w:tcPr>
          <w:p w14:paraId="6FBF4BA1">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3.6属于联合体投标的，由联合体中的一方负责网上投标事宜，该方的网上投标行为及其递交的投标文件等资料对联合体各方均具有约束力。</w:t>
            </w:r>
          </w:p>
        </w:tc>
      </w:tr>
      <w:tr w14:paraId="1FA6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4E60559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vAlign w:val="center"/>
          </w:tcPr>
          <w:p w14:paraId="3BA39F2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037B461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3.7</w:t>
            </w:r>
          </w:p>
        </w:tc>
        <w:tc>
          <w:tcPr>
            <w:tcW w:w="5925" w:type="dxa"/>
            <w:tcBorders>
              <w:top w:val="single" w:color="auto" w:sz="4" w:space="0"/>
              <w:left w:val="single" w:color="auto" w:sz="4" w:space="0"/>
              <w:bottom w:val="single" w:color="auto" w:sz="4" w:space="0"/>
              <w:right w:val="single" w:color="auto" w:sz="4" w:space="0"/>
            </w:tcBorders>
            <w:vAlign w:val="center"/>
          </w:tcPr>
          <w:p w14:paraId="2C24B058">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3.7投标代理人在同一个项目中只能接受一个投标人的委托参加投标。</w:t>
            </w:r>
          </w:p>
        </w:tc>
      </w:tr>
      <w:tr w14:paraId="550E2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5C5508F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vAlign w:val="center"/>
          </w:tcPr>
          <w:p w14:paraId="71DBA17F">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4EAC9AF7">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3.9</w:t>
            </w:r>
          </w:p>
        </w:tc>
        <w:tc>
          <w:tcPr>
            <w:tcW w:w="5925" w:type="dxa"/>
            <w:tcBorders>
              <w:top w:val="single" w:color="auto" w:sz="4" w:space="0"/>
              <w:left w:val="single" w:color="auto" w:sz="4" w:space="0"/>
              <w:bottom w:val="single" w:color="auto" w:sz="4" w:space="0"/>
              <w:right w:val="single" w:color="auto" w:sz="4" w:space="0"/>
            </w:tcBorders>
            <w:vAlign w:val="center"/>
          </w:tcPr>
          <w:p w14:paraId="2F6F3C9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3.9投标人必须在招标文件购买截止时间前，上网点击相关费用缴交，并将相关费用缴交至收款单位账户。否则投标人将无权下载招标文件，且不具备投标资格。</w:t>
            </w:r>
          </w:p>
        </w:tc>
      </w:tr>
      <w:tr w14:paraId="72E73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34693A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vAlign w:val="center"/>
          </w:tcPr>
          <w:p w14:paraId="54511024">
            <w:pPr>
              <w:spacing w:line="360" w:lineRule="auto"/>
              <w:jc w:val="center"/>
              <w:rPr>
                <w:rFonts w:hint="eastAsia"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vAlign w:val="center"/>
          </w:tcPr>
          <w:p w14:paraId="29CF2E6E">
            <w:pPr>
              <w:spacing w:line="360" w:lineRule="auto"/>
              <w:jc w:val="center"/>
              <w:rPr>
                <w:rFonts w:hint="eastAsia"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vAlign w:val="center"/>
          </w:tcPr>
          <w:p w14:paraId="21C48FC0">
            <w:pPr>
              <w:tabs>
                <w:tab w:val="left" w:pos="630"/>
              </w:tabs>
              <w:spacing w:line="360" w:lineRule="auto"/>
              <w:ind w:firstLine="560"/>
              <w:rPr>
                <w:rFonts w:hint="eastAsia" w:ascii="宋体" w:hAnsi="宋体" w:cs="宋体"/>
                <w:color w:val="auto"/>
                <w:sz w:val="24"/>
                <w:szCs w:val="24"/>
                <w:highlight w:val="none"/>
              </w:rPr>
            </w:pPr>
            <w:r>
              <w:rPr>
                <w:rFonts w:hint="eastAsia" w:ascii="宋体" w:hAnsi="宋体" w:cs="宋体"/>
                <w:color w:val="auto"/>
                <w:sz w:val="24"/>
                <w:szCs w:val="24"/>
                <w:highlight w:val="none"/>
              </w:rPr>
              <w:t>信用记录按照下列规定执行：信用记录的查询及审查：①由资格审查小组评审当日通过“信用中国”网站（www.creditchina.gov.cn）、中国政府采购网（www.ccgp.gov.cn）、信用中国(福建厦门)（credit.xm.gov.cn）查询并打印投标人信用记录（以下简称：“资格审查小组的查询结果”）。②查询结果存在投标人（包括联合体各方，联合体成员存在不良记录的，视同联合体存在不良信用记录，认定联合体资格审查不合格）应被拒绝参与政府采购活动相关信息的，其资格审查不合格。</w:t>
            </w:r>
          </w:p>
        </w:tc>
      </w:tr>
      <w:tr w14:paraId="502D7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855241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tcPr>
          <w:p w14:paraId="7E52A35F">
            <w:pPr>
              <w:spacing w:line="360" w:lineRule="auto"/>
              <w:jc w:val="center"/>
              <w:rPr>
                <w:rFonts w:hint="eastAsia"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tcPr>
          <w:p w14:paraId="535BD8BD">
            <w:pPr>
              <w:spacing w:line="360" w:lineRule="auto"/>
              <w:jc w:val="center"/>
              <w:rPr>
                <w:rFonts w:hint="eastAsia"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vAlign w:val="center"/>
          </w:tcPr>
          <w:p w14:paraId="1ECF114D">
            <w:pPr>
              <w:pStyle w:val="11"/>
              <w:shd w:val="clear" w:color="auto" w:fill="FFFFFF"/>
              <w:spacing w:line="360" w:lineRule="auto"/>
              <w:ind w:right="-63" w:rightChars="-30" w:firstLine="470" w:firstLineChars="195"/>
              <w:rPr>
                <w:rFonts w:hint="eastAsia"/>
                <w:b/>
                <w:color w:val="auto"/>
                <w:highlight w:val="none"/>
              </w:rPr>
            </w:pPr>
            <w:r>
              <w:rPr>
                <w:rFonts w:hint="eastAsia"/>
                <w:b/>
                <w:color w:val="auto"/>
                <w:highlight w:val="none"/>
              </w:rPr>
              <w:t>三、投标人资格证明要求</w:t>
            </w:r>
          </w:p>
          <w:p w14:paraId="75F5523F">
            <w:pPr>
              <w:pStyle w:val="11"/>
              <w:shd w:val="clear" w:color="auto" w:fill="FFFFFF"/>
              <w:spacing w:before="0" w:beforeAutospacing="0" w:after="0" w:afterAutospacing="0" w:line="360" w:lineRule="auto"/>
              <w:ind w:firstLine="470" w:firstLineChars="195"/>
              <w:rPr>
                <w:rFonts w:hint="eastAsia"/>
                <w:color w:val="auto"/>
                <w:highlight w:val="none"/>
              </w:rPr>
            </w:pPr>
            <w:r>
              <w:rPr>
                <w:rFonts w:hint="eastAsia"/>
                <w:b/>
                <w:color w:val="auto"/>
                <w:highlight w:val="none"/>
              </w:rPr>
              <w:t>★1.投标人应提供工商营业执照（副本）（加盖公章）的</w:t>
            </w:r>
            <w:r>
              <w:rPr>
                <w:rFonts w:hint="eastAsia"/>
                <w:b/>
                <w:color w:val="auto"/>
                <w:highlight w:val="none"/>
                <w:lang w:eastAsia="zh-CN"/>
              </w:rPr>
              <w:t>复印件（含扫描件）</w:t>
            </w:r>
            <w:r>
              <w:rPr>
                <w:rFonts w:hint="eastAsia"/>
                <w:b/>
                <w:color w:val="auto"/>
                <w:highlight w:val="none"/>
              </w:rPr>
              <w:t>，提供税务登记证及组织机构代码证</w:t>
            </w:r>
            <w:r>
              <w:rPr>
                <w:rFonts w:hint="eastAsia"/>
                <w:b/>
                <w:color w:val="auto"/>
                <w:highlight w:val="none"/>
                <w:lang w:eastAsia="zh-CN"/>
              </w:rPr>
              <w:t>复印件（含扫描件）</w:t>
            </w:r>
            <w:r>
              <w:rPr>
                <w:rFonts w:hint="eastAsia"/>
                <w:b/>
                <w:color w:val="auto"/>
                <w:highlight w:val="none"/>
              </w:rPr>
              <w:t>。投标人已提供加载有统一社会信用代码营业执照的，视为已提供税务登记证和组织机构代码证。</w:t>
            </w:r>
          </w:p>
        </w:tc>
      </w:tr>
      <w:tr w14:paraId="265BB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07479DE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tcPr>
          <w:p w14:paraId="71FE0839">
            <w:pPr>
              <w:spacing w:line="360" w:lineRule="auto"/>
              <w:jc w:val="center"/>
              <w:rPr>
                <w:rFonts w:hint="eastAsia"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tcPr>
          <w:p w14:paraId="5AE15BB0">
            <w:pPr>
              <w:spacing w:line="360" w:lineRule="auto"/>
              <w:jc w:val="center"/>
              <w:rPr>
                <w:rFonts w:hint="eastAsia"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tcPr>
          <w:p w14:paraId="66BEC66F">
            <w:pPr>
              <w:pStyle w:val="11"/>
              <w:shd w:val="clear" w:color="auto" w:fill="FFFFFF"/>
              <w:spacing w:before="0" w:beforeAutospacing="0" w:after="0" w:afterAutospacing="0" w:line="360" w:lineRule="auto"/>
              <w:ind w:firstLine="470" w:firstLineChars="195"/>
              <w:rPr>
                <w:rFonts w:hint="eastAsia"/>
                <w:color w:val="auto"/>
                <w:highlight w:val="none"/>
              </w:rPr>
            </w:pPr>
            <w:r>
              <w:rPr>
                <w:rFonts w:hint="eastAsia"/>
                <w:b/>
                <w:color w:val="auto"/>
                <w:highlight w:val="none"/>
              </w:rPr>
              <w:t>★2.投标人全权代表若不是单位负责人或法定代表人，应提供单位授权书原件，并提供被授权代表身份证</w:t>
            </w:r>
            <w:r>
              <w:rPr>
                <w:rFonts w:hint="eastAsia"/>
                <w:b/>
                <w:color w:val="auto"/>
                <w:highlight w:val="none"/>
                <w:lang w:eastAsia="zh-CN"/>
              </w:rPr>
              <w:t>复印件（含扫描件）</w:t>
            </w:r>
            <w:r>
              <w:rPr>
                <w:rFonts w:hint="eastAsia"/>
                <w:b/>
                <w:color w:val="auto"/>
                <w:highlight w:val="none"/>
              </w:rPr>
              <w:t>。</w:t>
            </w:r>
          </w:p>
        </w:tc>
      </w:tr>
      <w:tr w14:paraId="1437F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1F4F3D4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10</w:t>
            </w:r>
          </w:p>
        </w:tc>
        <w:tc>
          <w:tcPr>
            <w:tcW w:w="696" w:type="dxa"/>
            <w:tcBorders>
              <w:top w:val="single" w:color="auto" w:sz="4" w:space="0"/>
              <w:left w:val="single" w:color="auto" w:sz="4" w:space="0"/>
              <w:bottom w:val="single" w:color="auto" w:sz="4" w:space="0"/>
              <w:right w:val="single" w:color="auto" w:sz="4" w:space="0"/>
            </w:tcBorders>
          </w:tcPr>
          <w:p w14:paraId="6F348C4A">
            <w:pPr>
              <w:spacing w:line="360" w:lineRule="auto"/>
              <w:jc w:val="center"/>
              <w:rPr>
                <w:rFonts w:hint="eastAsia"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tcPr>
          <w:p w14:paraId="5EB79510">
            <w:pPr>
              <w:spacing w:line="360" w:lineRule="auto"/>
              <w:jc w:val="center"/>
              <w:rPr>
                <w:rFonts w:hint="eastAsia"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tcPr>
          <w:p w14:paraId="476AFAEF">
            <w:pPr>
              <w:pStyle w:val="11"/>
              <w:shd w:val="clear" w:color="auto" w:fill="FFFFFF"/>
              <w:spacing w:before="0" w:beforeAutospacing="0" w:after="0" w:afterAutospacing="0" w:line="360" w:lineRule="auto"/>
              <w:ind w:firstLine="470" w:firstLineChars="195"/>
              <w:rPr>
                <w:rFonts w:hint="eastAsia"/>
                <w:color w:val="auto"/>
                <w:highlight w:val="none"/>
              </w:rPr>
            </w:pPr>
            <w:r>
              <w:rPr>
                <w:rFonts w:hint="eastAsia"/>
                <w:b/>
                <w:color w:val="auto"/>
                <w:highlight w:val="none"/>
              </w:rPr>
              <w:t>★</w:t>
            </w:r>
            <w:r>
              <w:rPr>
                <w:rFonts w:hint="eastAsia" w:cs="Times New Roman"/>
                <w:b/>
                <w:color w:val="auto"/>
                <w:highlight w:val="none"/>
              </w:rPr>
              <w:t>3.本项目专门面向小微企业采购，所投所有采购标的均为小微企业制造。投标人需根据招标文件格式提供中小企业声明函。同时本项目不再执行价格评审优惠的扶持政策。 特别说明：（1）中小企业划分标准文件依据：财政部《关于印发中小企业划型标准规定的通知》（工信部联企业〔2011〕300号）。 （2）本项目适用行业为工业行业。</w:t>
            </w:r>
          </w:p>
        </w:tc>
      </w:tr>
      <w:tr w14:paraId="50630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9" w:type="dxa"/>
            <w:gridSpan w:val="4"/>
            <w:tcBorders>
              <w:top w:val="single" w:color="auto" w:sz="4" w:space="0"/>
              <w:left w:val="single" w:color="auto" w:sz="4" w:space="0"/>
              <w:bottom w:val="single" w:color="auto" w:sz="4" w:space="0"/>
              <w:right w:val="single" w:color="auto" w:sz="4" w:space="0"/>
            </w:tcBorders>
            <w:vAlign w:val="center"/>
          </w:tcPr>
          <w:p w14:paraId="5320928E">
            <w:pPr>
              <w:spacing w:line="360" w:lineRule="auto"/>
              <w:ind w:firstLine="3373" w:firstLineChars="1400"/>
              <w:rPr>
                <w:rFonts w:hint="eastAsia" w:ascii="宋体" w:hAnsi="宋体" w:cs="宋体"/>
                <w:color w:val="auto"/>
                <w:sz w:val="24"/>
                <w:szCs w:val="24"/>
                <w:highlight w:val="none"/>
              </w:rPr>
            </w:pPr>
            <w:r>
              <w:rPr>
                <w:rFonts w:hint="eastAsia" w:ascii="宋体" w:hAnsi="宋体" w:cs="宋体"/>
                <w:b/>
                <w:color w:val="auto"/>
                <w:sz w:val="24"/>
                <w:szCs w:val="24"/>
                <w:highlight w:val="none"/>
              </w:rPr>
              <w:t>符合性要求</w:t>
            </w:r>
          </w:p>
        </w:tc>
      </w:tr>
      <w:tr w14:paraId="46905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52F9EFF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项号</w:t>
            </w:r>
          </w:p>
        </w:tc>
        <w:tc>
          <w:tcPr>
            <w:tcW w:w="696" w:type="dxa"/>
            <w:tcBorders>
              <w:top w:val="single" w:color="auto" w:sz="4" w:space="0"/>
              <w:left w:val="single" w:color="auto" w:sz="4" w:space="0"/>
              <w:bottom w:val="single" w:color="auto" w:sz="4" w:space="0"/>
              <w:right w:val="single" w:color="auto" w:sz="4" w:space="0"/>
            </w:tcBorders>
            <w:vAlign w:val="center"/>
          </w:tcPr>
          <w:p w14:paraId="7F2F860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章</w:t>
            </w:r>
          </w:p>
        </w:tc>
        <w:tc>
          <w:tcPr>
            <w:tcW w:w="1422" w:type="dxa"/>
            <w:tcBorders>
              <w:top w:val="single" w:color="auto" w:sz="4" w:space="0"/>
              <w:left w:val="single" w:color="auto" w:sz="4" w:space="0"/>
              <w:bottom w:val="single" w:color="auto" w:sz="4" w:space="0"/>
              <w:right w:val="single" w:color="auto" w:sz="4" w:space="0"/>
            </w:tcBorders>
            <w:vAlign w:val="center"/>
          </w:tcPr>
          <w:p w14:paraId="7476FD2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条款号</w:t>
            </w:r>
          </w:p>
        </w:tc>
        <w:tc>
          <w:tcPr>
            <w:tcW w:w="5925" w:type="dxa"/>
            <w:tcBorders>
              <w:top w:val="single" w:color="auto" w:sz="4" w:space="0"/>
              <w:left w:val="single" w:color="auto" w:sz="4" w:space="0"/>
              <w:bottom w:val="single" w:color="auto" w:sz="4" w:space="0"/>
              <w:right w:val="single" w:color="auto" w:sz="4" w:space="0"/>
            </w:tcBorders>
            <w:vAlign w:val="center"/>
          </w:tcPr>
          <w:p w14:paraId="33E8CA70">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具体内容</w:t>
            </w:r>
          </w:p>
        </w:tc>
      </w:tr>
      <w:tr w14:paraId="3776A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57DFE5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vAlign w:val="center"/>
          </w:tcPr>
          <w:p w14:paraId="7681FC4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一</w:t>
            </w:r>
          </w:p>
        </w:tc>
        <w:tc>
          <w:tcPr>
            <w:tcW w:w="1422" w:type="dxa"/>
            <w:tcBorders>
              <w:top w:val="single" w:color="auto" w:sz="4" w:space="0"/>
              <w:left w:val="single" w:color="auto" w:sz="4" w:space="0"/>
              <w:bottom w:val="single" w:color="auto" w:sz="4" w:space="0"/>
              <w:right w:val="single" w:color="auto" w:sz="4" w:space="0"/>
            </w:tcBorders>
            <w:vAlign w:val="center"/>
          </w:tcPr>
          <w:p w14:paraId="39CF77C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5925" w:type="dxa"/>
            <w:tcBorders>
              <w:top w:val="single" w:color="auto" w:sz="4" w:space="0"/>
              <w:left w:val="single" w:color="auto" w:sz="4" w:space="0"/>
              <w:bottom w:val="single" w:color="auto" w:sz="4" w:space="0"/>
              <w:right w:val="single" w:color="auto" w:sz="4" w:space="0"/>
            </w:tcBorders>
          </w:tcPr>
          <w:p w14:paraId="638AF4D6">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投标人的投标文件未按规定的投标截止时间之前提交的，其投标将被拒绝。</w:t>
            </w:r>
          </w:p>
        </w:tc>
      </w:tr>
      <w:tr w14:paraId="64211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0415735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vAlign w:val="center"/>
          </w:tcPr>
          <w:p w14:paraId="4932ACC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63670FBB">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3.2</w:t>
            </w:r>
          </w:p>
        </w:tc>
        <w:tc>
          <w:tcPr>
            <w:tcW w:w="5925" w:type="dxa"/>
            <w:tcBorders>
              <w:top w:val="single" w:color="auto" w:sz="4" w:space="0"/>
              <w:left w:val="single" w:color="auto" w:sz="4" w:space="0"/>
              <w:bottom w:val="single" w:color="auto" w:sz="4" w:space="0"/>
              <w:right w:val="single" w:color="auto" w:sz="4" w:space="0"/>
            </w:tcBorders>
            <w:vAlign w:val="center"/>
          </w:tcPr>
          <w:p w14:paraId="01345106">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3.2投标人应遵守并符合中国的有关法律、法规和规章的规定，同时其投标货物或服务也应符合中国的有关法律、法规和规章的规定。认可本须知中的规定。</w:t>
            </w:r>
          </w:p>
        </w:tc>
      </w:tr>
      <w:tr w14:paraId="027A4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1C4CA1D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vAlign w:val="center"/>
          </w:tcPr>
          <w:p w14:paraId="34AC899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313516D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3.3</w:t>
            </w:r>
          </w:p>
        </w:tc>
        <w:tc>
          <w:tcPr>
            <w:tcW w:w="5925" w:type="dxa"/>
            <w:tcBorders>
              <w:top w:val="single" w:color="auto" w:sz="4" w:space="0"/>
              <w:left w:val="single" w:color="auto" w:sz="4" w:space="0"/>
              <w:bottom w:val="single" w:color="auto" w:sz="4" w:space="0"/>
              <w:right w:val="single" w:color="auto" w:sz="4" w:space="0"/>
            </w:tcBorders>
            <w:vAlign w:val="center"/>
          </w:tcPr>
          <w:p w14:paraId="7E278A1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3.3一个投标人只能提交一个投标文件。如果投标人之间存在下列互为关联关系的情形之一的，不得同时参加本项目同一合同包投标：</w:t>
            </w:r>
          </w:p>
          <w:p w14:paraId="7666B89D">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(1)法定代表人、单位负责人为同一人或夫妻关系的不同投标人；</w:t>
            </w:r>
          </w:p>
          <w:p w14:paraId="01A556C8">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(2)存在直接控股、管理关系的不同投标人；</w:t>
            </w:r>
          </w:p>
          <w:p w14:paraId="25B5202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(3)均为同一家母公司直接或间接持股50％及以上的被投资公司。</w:t>
            </w:r>
          </w:p>
        </w:tc>
      </w:tr>
      <w:tr w14:paraId="69A31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67DB886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vAlign w:val="center"/>
          </w:tcPr>
          <w:p w14:paraId="5FC7121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1A29ABEF">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3.4</w:t>
            </w:r>
          </w:p>
        </w:tc>
        <w:tc>
          <w:tcPr>
            <w:tcW w:w="5925" w:type="dxa"/>
            <w:tcBorders>
              <w:top w:val="single" w:color="auto" w:sz="4" w:space="0"/>
              <w:left w:val="single" w:color="auto" w:sz="4" w:space="0"/>
              <w:bottom w:val="single" w:color="auto" w:sz="4" w:space="0"/>
              <w:right w:val="single" w:color="auto" w:sz="4" w:space="0"/>
            </w:tcBorders>
            <w:vAlign w:val="center"/>
          </w:tcPr>
          <w:p w14:paraId="3E1590D6">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3.4投标人不得与本次招标项下设计、编制技术规格和其他文件的公司或提供咨询服务的公司包括其附属机构有关联关系，关联关系指：(1) 法定代表人、单位负责人为同一人或夫妻关系的不同公司；(2) 存在直接控股、管理关系的不同公司；(3) 均为同一家母公司直接或间接持股50％及以上的被投资公司。</w:t>
            </w:r>
          </w:p>
        </w:tc>
      </w:tr>
      <w:tr w14:paraId="41185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50FC73A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vAlign w:val="center"/>
          </w:tcPr>
          <w:p w14:paraId="380D75C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0D7168D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3.8</w:t>
            </w:r>
          </w:p>
        </w:tc>
        <w:tc>
          <w:tcPr>
            <w:tcW w:w="5925" w:type="dxa"/>
            <w:tcBorders>
              <w:top w:val="single" w:color="auto" w:sz="4" w:space="0"/>
              <w:left w:val="single" w:color="auto" w:sz="4" w:space="0"/>
              <w:bottom w:val="single" w:color="auto" w:sz="4" w:space="0"/>
              <w:right w:val="single" w:color="auto" w:sz="4" w:space="0"/>
            </w:tcBorders>
            <w:vAlign w:val="center"/>
          </w:tcPr>
          <w:p w14:paraId="5E25335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3.8投标人存在下列情形之一的，将被认定为串通投标行为并作无效投标处理：</w:t>
            </w:r>
          </w:p>
          <w:p w14:paraId="6569F9AE">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（1）投标人之间协商投标报价等投标文件的实质性内容；</w:t>
            </w:r>
          </w:p>
          <w:p w14:paraId="191428D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（2）投标人之间约定中标供应商；</w:t>
            </w:r>
          </w:p>
          <w:p w14:paraId="0D7D5C21">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（3）投标人之间约定部分投标人放弃投标或者中标；</w:t>
            </w:r>
          </w:p>
          <w:p w14:paraId="5063299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（4）属于同一集团、协会、商会等组织成员的投标人按照该组织要求协同投标；</w:t>
            </w:r>
          </w:p>
          <w:p w14:paraId="4CBE74B6">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（5）投标人之间为谋取中标或者排斥特定投标人而采取的其他联合行动；</w:t>
            </w:r>
          </w:p>
          <w:p w14:paraId="662CD82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（6）不同投标人的投标文件由同一单位或者个人编制；</w:t>
            </w:r>
          </w:p>
          <w:p w14:paraId="3F366AEE">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（7）不同投标人委托同一单位或者个人办理投标事宜；</w:t>
            </w:r>
          </w:p>
          <w:p w14:paraId="4A6F1952">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（8）不同投标人的投标文件载明的项目管理成员或者联系人员为同一人；</w:t>
            </w:r>
          </w:p>
          <w:p w14:paraId="3FF569C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（9）不同投标人的投标文件异常一致或者投标报价呈规律性差异；</w:t>
            </w:r>
          </w:p>
          <w:p w14:paraId="28562752">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（10）不同投标人的投标文件相互混装；</w:t>
            </w:r>
          </w:p>
          <w:p w14:paraId="4B8D6C30">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（11）不同投标人的投标保证金从同一单位或者个人的账户转出。</w:t>
            </w:r>
          </w:p>
          <w:p w14:paraId="6F47861C">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（12）不同投标人的投标文件错、漏之处一致或雷同，且不能合理解释的；</w:t>
            </w:r>
          </w:p>
          <w:p w14:paraId="65569AD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（13）不同的投标人的法定代表人、委托代理人等由同一个单位缴纳社会保险的；</w:t>
            </w:r>
          </w:p>
          <w:p w14:paraId="0C9B52D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（14）由同一人或分别由几个有利害关系的人携带两个以上（含两个）投标人的企业资料参与资格审查、领取招标资料，或代表两个以上（含两个）投标人参加招标答疑会、交纳或退还投标保证金、开标的；</w:t>
            </w:r>
          </w:p>
          <w:p w14:paraId="2F7D677D">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（15）有关法律、法规或规章规定的其他串通投标行为。</w:t>
            </w:r>
          </w:p>
        </w:tc>
      </w:tr>
      <w:tr w14:paraId="24EF2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93FEB2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vAlign w:val="center"/>
          </w:tcPr>
          <w:p w14:paraId="2262340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03135C0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8.1</w:t>
            </w:r>
          </w:p>
        </w:tc>
        <w:tc>
          <w:tcPr>
            <w:tcW w:w="5925" w:type="dxa"/>
            <w:tcBorders>
              <w:top w:val="single" w:color="auto" w:sz="4" w:space="0"/>
              <w:left w:val="single" w:color="auto" w:sz="4" w:space="0"/>
              <w:bottom w:val="single" w:color="auto" w:sz="4" w:space="0"/>
              <w:right w:val="single" w:color="auto" w:sz="4" w:space="0"/>
            </w:tcBorders>
          </w:tcPr>
          <w:p w14:paraId="74EE1E7C">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8.1投标人应仔细阅读供应商操作手册和招标文件的所有内容，按照相关要求提交投标文件。</w:t>
            </w:r>
            <w:r>
              <w:rPr>
                <w:rFonts w:hint="eastAsia" w:ascii="宋体" w:hAnsi="宋体" w:cs="宋体"/>
                <w:b/>
                <w:color w:val="auto"/>
                <w:sz w:val="24"/>
                <w:szCs w:val="24"/>
                <w:highlight w:val="none"/>
              </w:rPr>
              <w:t>投标文件应对招标文件的要求作出实质性响应，并保证所提供的全部资料的真实性，否则其投标将被拒绝。</w:t>
            </w:r>
          </w:p>
        </w:tc>
      </w:tr>
      <w:tr w14:paraId="3B379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10CBFD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vAlign w:val="center"/>
          </w:tcPr>
          <w:p w14:paraId="7720893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022ABCC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8.2</w:t>
            </w:r>
          </w:p>
        </w:tc>
        <w:tc>
          <w:tcPr>
            <w:tcW w:w="5925" w:type="dxa"/>
            <w:tcBorders>
              <w:top w:val="single" w:color="auto" w:sz="4" w:space="0"/>
              <w:left w:val="single" w:color="auto" w:sz="4" w:space="0"/>
              <w:bottom w:val="single" w:color="auto" w:sz="4" w:space="0"/>
              <w:right w:val="single" w:color="auto" w:sz="4" w:space="0"/>
            </w:tcBorders>
          </w:tcPr>
          <w:p w14:paraId="0AEEA6CE">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8.2 除非有另外的规定，投标人可对招标货物（服务）一览表所列的全部合同包或部分合同包进行投标。招标采购单位不接受有任何可选择性的报价，每一种货物（服务）只能有一个报价，否则其投标将被拒绝。</w:t>
            </w:r>
          </w:p>
        </w:tc>
      </w:tr>
      <w:tr w14:paraId="35EE8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78F0A9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vAlign w:val="center"/>
          </w:tcPr>
          <w:p w14:paraId="4CB0E36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630983B7">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10.2</w:t>
            </w:r>
          </w:p>
        </w:tc>
        <w:tc>
          <w:tcPr>
            <w:tcW w:w="5925" w:type="dxa"/>
            <w:tcBorders>
              <w:top w:val="single" w:color="auto" w:sz="4" w:space="0"/>
              <w:left w:val="single" w:color="auto" w:sz="4" w:space="0"/>
              <w:bottom w:val="single" w:color="auto" w:sz="4" w:space="0"/>
              <w:right w:val="single" w:color="auto" w:sz="4" w:space="0"/>
            </w:tcBorders>
            <w:vAlign w:val="center"/>
          </w:tcPr>
          <w:p w14:paraId="14B8A4B9">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10.2投标文件必须包括下列部分，否则其投标将按照无效投标处理：</w:t>
            </w:r>
          </w:p>
          <w:p w14:paraId="55E0A565">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 开标一览表</w:t>
            </w:r>
          </w:p>
          <w:p w14:paraId="5D49634E">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 商务条款响应书</w:t>
            </w:r>
          </w:p>
          <w:p w14:paraId="698587AF">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 技术条款响应书</w:t>
            </w:r>
          </w:p>
          <w:p w14:paraId="4EE22DC8">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 投标书</w:t>
            </w:r>
          </w:p>
          <w:p w14:paraId="3DB0F5EC">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 投标分项报价表</w:t>
            </w:r>
          </w:p>
          <w:p w14:paraId="78C04E9F">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 货物说明一览表</w:t>
            </w:r>
          </w:p>
          <w:p w14:paraId="2F3CC4D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(7) 供货范围清单</w:t>
            </w:r>
          </w:p>
          <w:p w14:paraId="2453250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 技术规格和商务响应表</w:t>
            </w:r>
          </w:p>
          <w:p w14:paraId="7DEEB69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 代理服务费承诺书</w:t>
            </w:r>
          </w:p>
          <w:p w14:paraId="680A4C4A">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(10) 投标保证金</w:t>
            </w:r>
          </w:p>
        </w:tc>
      </w:tr>
      <w:tr w14:paraId="374FC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5DFB11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vAlign w:val="center"/>
          </w:tcPr>
          <w:p w14:paraId="5DD6569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2F4017F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11.1</w:t>
            </w:r>
          </w:p>
        </w:tc>
        <w:tc>
          <w:tcPr>
            <w:tcW w:w="5925" w:type="dxa"/>
            <w:tcBorders>
              <w:top w:val="single" w:color="auto" w:sz="4" w:space="0"/>
              <w:left w:val="single" w:color="auto" w:sz="4" w:space="0"/>
              <w:bottom w:val="single" w:color="auto" w:sz="4" w:space="0"/>
              <w:right w:val="single" w:color="auto" w:sz="4" w:space="0"/>
            </w:tcBorders>
            <w:vAlign w:val="center"/>
          </w:tcPr>
          <w:p w14:paraId="7D2CFA8F">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11.1投标有效期：投标截止之日起</w:t>
            </w:r>
            <w:r>
              <w:rPr>
                <w:rFonts w:hint="eastAsia" w:ascii="宋体" w:hAnsi="宋体" w:cs="宋体"/>
                <w:color w:val="auto"/>
                <w:sz w:val="24"/>
                <w:szCs w:val="24"/>
                <w:highlight w:val="none"/>
                <w:u w:val="single"/>
              </w:rPr>
              <w:t>90</w:t>
            </w:r>
            <w:r>
              <w:rPr>
                <w:rFonts w:hint="eastAsia" w:ascii="宋体" w:hAnsi="宋体" w:cs="宋体"/>
                <w:color w:val="auto"/>
                <w:sz w:val="24"/>
                <w:szCs w:val="24"/>
                <w:highlight w:val="none"/>
              </w:rPr>
              <w:t>个日历日。有效期不足将导致其投标文件被拒绝。</w:t>
            </w:r>
          </w:p>
        </w:tc>
      </w:tr>
      <w:tr w14:paraId="5714D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9B8BF1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10</w:t>
            </w:r>
          </w:p>
        </w:tc>
        <w:tc>
          <w:tcPr>
            <w:tcW w:w="696" w:type="dxa"/>
            <w:tcBorders>
              <w:top w:val="single" w:color="auto" w:sz="4" w:space="0"/>
              <w:left w:val="single" w:color="auto" w:sz="4" w:space="0"/>
              <w:bottom w:val="single" w:color="auto" w:sz="4" w:space="0"/>
              <w:right w:val="single" w:color="auto" w:sz="4" w:space="0"/>
            </w:tcBorders>
            <w:vAlign w:val="center"/>
          </w:tcPr>
          <w:p w14:paraId="1FD849D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60EC889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12.5</w:t>
            </w:r>
          </w:p>
        </w:tc>
        <w:tc>
          <w:tcPr>
            <w:tcW w:w="5925" w:type="dxa"/>
            <w:tcBorders>
              <w:top w:val="single" w:color="auto" w:sz="4" w:space="0"/>
              <w:left w:val="single" w:color="auto" w:sz="4" w:space="0"/>
              <w:bottom w:val="single" w:color="auto" w:sz="4" w:space="0"/>
              <w:right w:val="single" w:color="auto" w:sz="4" w:space="0"/>
            </w:tcBorders>
            <w:vAlign w:val="center"/>
          </w:tcPr>
          <w:p w14:paraId="7D321575">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12.5未按要求缴交投标保证金的投标，将被视为无效投标。</w:t>
            </w:r>
          </w:p>
        </w:tc>
      </w:tr>
      <w:tr w14:paraId="6D668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5C0E178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c>
          <w:tcPr>
            <w:tcW w:w="696" w:type="dxa"/>
            <w:tcBorders>
              <w:top w:val="single" w:color="auto" w:sz="4" w:space="0"/>
              <w:left w:val="single" w:color="auto" w:sz="4" w:space="0"/>
              <w:bottom w:val="single" w:color="auto" w:sz="4" w:space="0"/>
              <w:right w:val="single" w:color="auto" w:sz="4" w:space="0"/>
            </w:tcBorders>
            <w:vAlign w:val="center"/>
          </w:tcPr>
          <w:p w14:paraId="6C960AC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62AA518C">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14.3</w:t>
            </w:r>
          </w:p>
        </w:tc>
        <w:tc>
          <w:tcPr>
            <w:tcW w:w="5925" w:type="dxa"/>
            <w:tcBorders>
              <w:top w:val="single" w:color="auto" w:sz="4" w:space="0"/>
              <w:left w:val="single" w:color="auto" w:sz="4" w:space="0"/>
              <w:bottom w:val="single" w:color="auto" w:sz="4" w:space="0"/>
              <w:right w:val="single" w:color="auto" w:sz="4" w:space="0"/>
            </w:tcBorders>
          </w:tcPr>
          <w:p w14:paraId="55E131D2">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14.3投标文件应在投标截止时间前上传成功，已上传但未提示上传成功的投标无效。</w:t>
            </w:r>
          </w:p>
        </w:tc>
      </w:tr>
      <w:tr w14:paraId="1356B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0AFE75D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w:t>
            </w:r>
          </w:p>
        </w:tc>
        <w:tc>
          <w:tcPr>
            <w:tcW w:w="696" w:type="dxa"/>
            <w:tcBorders>
              <w:top w:val="single" w:color="auto" w:sz="4" w:space="0"/>
              <w:left w:val="single" w:color="auto" w:sz="4" w:space="0"/>
              <w:bottom w:val="single" w:color="auto" w:sz="4" w:space="0"/>
              <w:right w:val="single" w:color="auto" w:sz="4" w:space="0"/>
            </w:tcBorders>
            <w:vAlign w:val="center"/>
          </w:tcPr>
          <w:p w14:paraId="76F14D8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71ACEB49">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15.3.2</w:t>
            </w:r>
          </w:p>
        </w:tc>
        <w:tc>
          <w:tcPr>
            <w:tcW w:w="5925" w:type="dxa"/>
            <w:tcBorders>
              <w:top w:val="single" w:color="auto" w:sz="4" w:space="0"/>
              <w:left w:val="single" w:color="auto" w:sz="4" w:space="0"/>
              <w:bottom w:val="single" w:color="auto" w:sz="4" w:space="0"/>
              <w:right w:val="single" w:color="auto" w:sz="4" w:space="0"/>
            </w:tcBorders>
          </w:tcPr>
          <w:p w14:paraId="4F4B880D">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15.3.2上传成功但解密失败或读取失败的“开标一览表”，其投标人的投标无效。</w:t>
            </w:r>
          </w:p>
        </w:tc>
      </w:tr>
      <w:tr w14:paraId="68F70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3C27561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13</w:t>
            </w:r>
          </w:p>
        </w:tc>
        <w:tc>
          <w:tcPr>
            <w:tcW w:w="696" w:type="dxa"/>
            <w:tcBorders>
              <w:top w:val="single" w:color="auto" w:sz="4" w:space="0"/>
              <w:left w:val="single" w:color="auto" w:sz="4" w:space="0"/>
              <w:bottom w:val="single" w:color="auto" w:sz="4" w:space="0"/>
              <w:right w:val="single" w:color="auto" w:sz="4" w:space="0"/>
            </w:tcBorders>
            <w:vAlign w:val="center"/>
          </w:tcPr>
          <w:p w14:paraId="2C3AF17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14E90C24">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15.3.3</w:t>
            </w:r>
          </w:p>
        </w:tc>
        <w:tc>
          <w:tcPr>
            <w:tcW w:w="5925" w:type="dxa"/>
            <w:tcBorders>
              <w:top w:val="single" w:color="auto" w:sz="4" w:space="0"/>
              <w:left w:val="single" w:color="auto" w:sz="4" w:space="0"/>
              <w:bottom w:val="single" w:color="auto" w:sz="4" w:space="0"/>
              <w:right w:val="single" w:color="auto" w:sz="4" w:space="0"/>
            </w:tcBorders>
          </w:tcPr>
          <w:p w14:paraId="7E9D874F">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15.3.3若由于投标人未按开标一览表模板制作导致招标代理机构公布其开标一览表时其表格内容无法显示的，视为读取失败，该投标人的投标无效。</w:t>
            </w:r>
          </w:p>
        </w:tc>
      </w:tr>
      <w:tr w14:paraId="4AB22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71B7E45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14</w:t>
            </w:r>
          </w:p>
        </w:tc>
        <w:tc>
          <w:tcPr>
            <w:tcW w:w="696" w:type="dxa"/>
            <w:tcBorders>
              <w:top w:val="single" w:color="auto" w:sz="4" w:space="0"/>
              <w:left w:val="single" w:color="auto" w:sz="4" w:space="0"/>
              <w:bottom w:val="single" w:color="auto" w:sz="4" w:space="0"/>
              <w:right w:val="single" w:color="auto" w:sz="4" w:space="0"/>
            </w:tcBorders>
            <w:vAlign w:val="center"/>
          </w:tcPr>
          <w:p w14:paraId="5730328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38B81736">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17.</w:t>
            </w:r>
          </w:p>
        </w:tc>
        <w:tc>
          <w:tcPr>
            <w:tcW w:w="5925" w:type="dxa"/>
            <w:tcBorders>
              <w:top w:val="single" w:color="auto" w:sz="4" w:space="0"/>
              <w:left w:val="single" w:color="auto" w:sz="4" w:space="0"/>
              <w:bottom w:val="single" w:color="auto" w:sz="4" w:space="0"/>
              <w:right w:val="single" w:color="auto" w:sz="4" w:space="0"/>
            </w:tcBorders>
          </w:tcPr>
          <w:p w14:paraId="1567326E">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17.投标人任何试图影响评委会对投标文件的评估、比较或者推荐候选人的行为，都将导致其投标按照无效投标处理，并被没收投标保证金。</w:t>
            </w:r>
          </w:p>
        </w:tc>
      </w:tr>
      <w:tr w14:paraId="34211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32FD62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15</w:t>
            </w:r>
          </w:p>
        </w:tc>
        <w:tc>
          <w:tcPr>
            <w:tcW w:w="696" w:type="dxa"/>
            <w:tcBorders>
              <w:top w:val="single" w:color="auto" w:sz="4" w:space="0"/>
              <w:left w:val="single" w:color="auto" w:sz="4" w:space="0"/>
              <w:bottom w:val="single" w:color="auto" w:sz="4" w:space="0"/>
              <w:right w:val="single" w:color="auto" w:sz="4" w:space="0"/>
            </w:tcBorders>
            <w:vAlign w:val="center"/>
          </w:tcPr>
          <w:p w14:paraId="3FBBC7C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027CAC90">
            <w:pPr>
              <w:spacing w:line="360" w:lineRule="auto"/>
              <w:jc w:val="center"/>
              <w:rPr>
                <w:rFonts w:hint="eastAsia" w:ascii="宋体" w:hAnsi="宋体" w:cs="宋体"/>
                <w:b/>
                <w:color w:val="auto"/>
                <w:sz w:val="24"/>
                <w:szCs w:val="24"/>
                <w:highlight w:val="none"/>
              </w:rPr>
            </w:pPr>
            <w:r>
              <w:rPr>
                <w:rFonts w:hint="eastAsia" w:ascii="宋体" w:hAnsi="宋体" w:cs="宋体"/>
                <w:color w:val="auto"/>
                <w:sz w:val="24"/>
                <w:szCs w:val="24"/>
                <w:highlight w:val="none"/>
              </w:rPr>
              <w:t>17.2</w:t>
            </w:r>
          </w:p>
        </w:tc>
        <w:tc>
          <w:tcPr>
            <w:tcW w:w="5925" w:type="dxa"/>
            <w:tcBorders>
              <w:top w:val="single" w:color="auto" w:sz="4" w:space="0"/>
              <w:left w:val="single" w:color="auto" w:sz="4" w:space="0"/>
              <w:bottom w:val="single" w:color="auto" w:sz="4" w:space="0"/>
              <w:right w:val="single" w:color="auto" w:sz="4" w:space="0"/>
            </w:tcBorders>
          </w:tcPr>
          <w:p w14:paraId="2BBB18BC">
            <w:pPr>
              <w:spacing w:line="360" w:lineRule="auto"/>
              <w:ind w:firstLine="480" w:firstLineChars="200"/>
              <w:rPr>
                <w:rFonts w:hint="eastAsia" w:ascii="宋体" w:hAnsi="宋体" w:cs="宋体"/>
                <w:b/>
                <w:color w:val="auto"/>
                <w:sz w:val="24"/>
                <w:szCs w:val="24"/>
                <w:highlight w:val="none"/>
              </w:rPr>
            </w:pPr>
            <w:r>
              <w:rPr>
                <w:rFonts w:hint="eastAsia" w:ascii="宋体" w:hAnsi="宋体" w:cs="宋体"/>
                <w:color w:val="auto"/>
                <w:sz w:val="24"/>
                <w:szCs w:val="24"/>
                <w:highlight w:val="none"/>
              </w:rPr>
              <w:t>17.2</w:t>
            </w:r>
            <w:r>
              <w:rPr>
                <w:rFonts w:hint="eastAsia" w:ascii="宋体" w:hAnsi="宋体" w:cs="宋体"/>
                <w:b/>
                <w:color w:val="auto"/>
                <w:sz w:val="24"/>
                <w:szCs w:val="24"/>
                <w:highlight w:val="none"/>
              </w:rPr>
              <w:t>如果投标人不接受按上述方法对投标文件中的算术错误进行更正，其投标将按照无效投标处理并被没收投标保证金。</w:t>
            </w:r>
          </w:p>
        </w:tc>
      </w:tr>
      <w:tr w14:paraId="75EC4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7FC0635F">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16</w:t>
            </w:r>
          </w:p>
        </w:tc>
        <w:tc>
          <w:tcPr>
            <w:tcW w:w="696" w:type="dxa"/>
            <w:tcBorders>
              <w:top w:val="single" w:color="auto" w:sz="4" w:space="0"/>
              <w:left w:val="single" w:color="auto" w:sz="4" w:space="0"/>
              <w:bottom w:val="single" w:color="auto" w:sz="4" w:space="0"/>
              <w:right w:val="single" w:color="auto" w:sz="4" w:space="0"/>
            </w:tcBorders>
            <w:vAlign w:val="center"/>
          </w:tcPr>
          <w:p w14:paraId="08BD120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5A313712">
            <w:pPr>
              <w:spacing w:line="360" w:lineRule="auto"/>
              <w:jc w:val="center"/>
              <w:rPr>
                <w:rFonts w:hint="eastAsia" w:ascii="宋体" w:hAnsi="宋体" w:cs="宋体"/>
                <w:b/>
                <w:color w:val="auto"/>
                <w:sz w:val="24"/>
                <w:szCs w:val="24"/>
                <w:highlight w:val="none"/>
              </w:rPr>
            </w:pPr>
            <w:r>
              <w:rPr>
                <w:rFonts w:hint="eastAsia" w:ascii="宋体" w:hAnsi="宋体" w:cs="宋体"/>
                <w:color w:val="auto"/>
                <w:sz w:val="24"/>
                <w:szCs w:val="24"/>
                <w:highlight w:val="none"/>
              </w:rPr>
              <w:t>17.3.2</w:t>
            </w:r>
          </w:p>
        </w:tc>
        <w:tc>
          <w:tcPr>
            <w:tcW w:w="5925" w:type="dxa"/>
            <w:tcBorders>
              <w:top w:val="single" w:color="auto" w:sz="4" w:space="0"/>
              <w:left w:val="single" w:color="auto" w:sz="4" w:space="0"/>
              <w:bottom w:val="single" w:color="auto" w:sz="4" w:space="0"/>
              <w:right w:val="single" w:color="auto" w:sz="4" w:space="0"/>
            </w:tcBorders>
          </w:tcPr>
          <w:p w14:paraId="018686C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17.3.2依据招标文件的规定，评标委员会还将从投标文件的有效性、完整性和对招标文件的响应程度等方面进行审查，以确定其是否符合对招标文件的实质性要求作出响应。（采购单位可根据具体项目的情况对实质性要求作特别的规定。）实质性偏离是指：（1）实质性影响合同的范围、质量和履行；（2）实质性违背招标文件，限制了采购单位的权利和中标供应商合同项下的义务；（3）不公正地影响了其它作出实质性响应的投标人的竞争地位。对没有实质性响应的投标文件将不进行评估，其投标将按照无效投标处理。凡有下列情况之一者，投标文件也将被视为未实质性响应招标文件要求：</w:t>
            </w:r>
          </w:p>
          <w:p w14:paraId="0534CFC5">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 未按规定提交投标保证金的；</w:t>
            </w:r>
          </w:p>
          <w:p w14:paraId="5F7BBF0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(2)投标有效期不满足招标文件要求的；</w:t>
            </w:r>
          </w:p>
          <w:p w14:paraId="05CEDBD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(3)投标内容与招标内容及要求有重大偏离或保留的；</w:t>
            </w:r>
          </w:p>
          <w:p w14:paraId="75C8D5A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(4)投标人提交的是可选择的报价；</w:t>
            </w:r>
          </w:p>
          <w:p w14:paraId="370CEB7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(5)投标人未按招标文件要求对投标进行分项报价；</w:t>
            </w:r>
          </w:p>
          <w:p w14:paraId="509BC566">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(6)投标文件中提供虚假或失实资料的；</w:t>
            </w:r>
          </w:p>
          <w:p w14:paraId="30312BB2">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(7)不符合招标文件中规定的其它实质性条款。 </w:t>
            </w:r>
          </w:p>
          <w:p w14:paraId="34D37F8C">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评标委员会决定投标的响应性只根据投标文件本身的内容，而不寻求其他的外部证据。</w:t>
            </w:r>
          </w:p>
        </w:tc>
      </w:tr>
      <w:tr w14:paraId="4ED68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298A8BE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17</w:t>
            </w:r>
          </w:p>
        </w:tc>
        <w:tc>
          <w:tcPr>
            <w:tcW w:w="696" w:type="dxa"/>
            <w:tcBorders>
              <w:top w:val="single" w:color="auto" w:sz="4" w:space="0"/>
              <w:left w:val="single" w:color="auto" w:sz="4" w:space="0"/>
              <w:bottom w:val="single" w:color="auto" w:sz="4" w:space="0"/>
              <w:right w:val="single" w:color="auto" w:sz="4" w:space="0"/>
            </w:tcBorders>
            <w:vAlign w:val="center"/>
          </w:tcPr>
          <w:p w14:paraId="40559DC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0AF62475">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17.3.3</w:t>
            </w:r>
          </w:p>
        </w:tc>
        <w:tc>
          <w:tcPr>
            <w:tcW w:w="5925" w:type="dxa"/>
            <w:tcBorders>
              <w:top w:val="single" w:color="auto" w:sz="4" w:space="0"/>
              <w:left w:val="single" w:color="auto" w:sz="4" w:space="0"/>
              <w:bottom w:val="single" w:color="auto" w:sz="4" w:space="0"/>
              <w:right w:val="single" w:color="auto" w:sz="4" w:space="0"/>
            </w:tcBorders>
          </w:tcPr>
          <w:p w14:paraId="4F62BBC4">
            <w:pPr>
              <w:spacing w:line="360" w:lineRule="auto"/>
              <w:ind w:firstLine="482" w:firstLineChars="200"/>
              <w:rPr>
                <w:rFonts w:hint="eastAsia" w:ascii="宋体" w:hAnsi="宋体" w:cs="宋体"/>
                <w:color w:val="auto"/>
                <w:sz w:val="24"/>
                <w:szCs w:val="24"/>
                <w:highlight w:val="none"/>
              </w:rPr>
            </w:pPr>
            <w:r>
              <w:rPr>
                <w:rFonts w:hint="eastAsia" w:ascii="宋体" w:hAnsi="宋体" w:cs="宋体"/>
                <w:b/>
                <w:color w:val="auto"/>
                <w:sz w:val="24"/>
                <w:szCs w:val="24"/>
                <w:highlight w:val="none"/>
              </w:rPr>
              <w:t>17.3.3投标产品必须满足中华人民共和国相关法律法规及行业的强制性要求，否则该投标人的投标将按照无效投标处理。</w:t>
            </w:r>
          </w:p>
        </w:tc>
      </w:tr>
      <w:tr w14:paraId="58EF7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14:paraId="5E62AB4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18</w:t>
            </w:r>
          </w:p>
        </w:tc>
        <w:tc>
          <w:tcPr>
            <w:tcW w:w="696" w:type="dxa"/>
            <w:tcBorders>
              <w:top w:val="single" w:color="auto" w:sz="4" w:space="0"/>
              <w:left w:val="single" w:color="auto" w:sz="4" w:space="0"/>
              <w:bottom w:val="single" w:color="auto" w:sz="4" w:space="0"/>
              <w:right w:val="single" w:color="auto" w:sz="4" w:space="0"/>
            </w:tcBorders>
            <w:vAlign w:val="center"/>
          </w:tcPr>
          <w:p w14:paraId="5C3A248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14:paraId="78E472FB">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17.3.4</w:t>
            </w:r>
          </w:p>
        </w:tc>
        <w:tc>
          <w:tcPr>
            <w:tcW w:w="5925" w:type="dxa"/>
            <w:tcBorders>
              <w:top w:val="single" w:color="auto" w:sz="4" w:space="0"/>
              <w:left w:val="single" w:color="auto" w:sz="4" w:space="0"/>
              <w:bottom w:val="single" w:color="auto" w:sz="4" w:space="0"/>
              <w:right w:val="single" w:color="auto" w:sz="4" w:space="0"/>
            </w:tcBorders>
            <w:vAlign w:val="center"/>
          </w:tcPr>
          <w:p w14:paraId="6BA25BEF">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17.3.4投标人以他人名义投标或使用自己的数字证书上传其他投标人的投标文件，</w:t>
            </w:r>
            <w:r>
              <w:rPr>
                <w:rFonts w:hint="eastAsia" w:ascii="宋体" w:hAnsi="宋体" w:cs="宋体"/>
                <w:b/>
                <w:color w:val="auto"/>
                <w:kern w:val="0"/>
                <w:sz w:val="24"/>
                <w:szCs w:val="24"/>
                <w:highlight w:val="none"/>
              </w:rPr>
              <w:t>则</w:t>
            </w:r>
            <w:r>
              <w:rPr>
                <w:rFonts w:hint="eastAsia" w:ascii="宋体" w:hAnsi="宋体" w:cs="宋体"/>
                <w:b/>
                <w:color w:val="auto"/>
                <w:sz w:val="24"/>
                <w:szCs w:val="24"/>
                <w:highlight w:val="none"/>
              </w:rPr>
              <w:t>该投标人的投标将按照无效投标处理。</w:t>
            </w:r>
          </w:p>
        </w:tc>
      </w:tr>
      <w:tr w14:paraId="6200F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696" w:type="dxa"/>
            <w:tcBorders>
              <w:top w:val="single" w:color="auto" w:sz="4" w:space="0"/>
            </w:tcBorders>
            <w:vAlign w:val="center"/>
          </w:tcPr>
          <w:p w14:paraId="21EC9FA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19</w:t>
            </w:r>
          </w:p>
        </w:tc>
        <w:tc>
          <w:tcPr>
            <w:tcW w:w="696" w:type="dxa"/>
            <w:tcBorders>
              <w:top w:val="single" w:color="auto" w:sz="4" w:space="0"/>
            </w:tcBorders>
            <w:vAlign w:val="center"/>
          </w:tcPr>
          <w:p w14:paraId="5794909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tcBorders>
            <w:vAlign w:val="center"/>
          </w:tcPr>
          <w:p w14:paraId="7B1FDC88">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17.3.5</w:t>
            </w:r>
          </w:p>
        </w:tc>
        <w:tc>
          <w:tcPr>
            <w:tcW w:w="5925" w:type="dxa"/>
            <w:tcBorders>
              <w:top w:val="single" w:color="auto" w:sz="4" w:space="0"/>
            </w:tcBorders>
            <w:vAlign w:val="center"/>
          </w:tcPr>
          <w:p w14:paraId="30B01784">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17.3.5采购单位（或使用单位）、招标代理机构有下列情形之一的，将被认定为采购单位（或使用单位）、招标代理机构与投标人有串通投标行为，该投标人投标作无效投标处理：</w:t>
            </w:r>
          </w:p>
          <w:p w14:paraId="6477879B">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（1）在开标前开启投标文件并将有关信息泄露给其他投标人;</w:t>
            </w:r>
          </w:p>
          <w:p w14:paraId="4DF2390D">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（2）评审结果公告前，直接或者间接向投标人泄露评标委员会成员等信息；</w:t>
            </w:r>
          </w:p>
          <w:p w14:paraId="1D6D1E8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（3）明示或者暗示投标人压低或者抬高投标报价；</w:t>
            </w:r>
          </w:p>
          <w:p w14:paraId="5F846A63">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（4）授意投标人撤换、修改投标文件（按18条进行的澄清除外）；</w:t>
            </w:r>
          </w:p>
          <w:p w14:paraId="5C120CC9">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（5）明示或者暗示投标人为特定投标人中标提供方便；</w:t>
            </w:r>
          </w:p>
          <w:p w14:paraId="47598865">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（6）为谋求特定投标人中标而采取的其他串通行为。</w:t>
            </w:r>
          </w:p>
        </w:tc>
      </w:tr>
      <w:tr w14:paraId="0CAD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2FB7F79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20</w:t>
            </w:r>
          </w:p>
        </w:tc>
        <w:tc>
          <w:tcPr>
            <w:tcW w:w="696" w:type="dxa"/>
            <w:vAlign w:val="center"/>
          </w:tcPr>
          <w:p w14:paraId="1F67608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vAlign w:val="center"/>
          </w:tcPr>
          <w:p w14:paraId="0D94D63B">
            <w:pPr>
              <w:spacing w:line="360" w:lineRule="auto"/>
              <w:jc w:val="center"/>
              <w:rPr>
                <w:rFonts w:hint="eastAsia" w:ascii="宋体" w:hAnsi="宋体" w:cs="宋体"/>
                <w:color w:val="auto"/>
                <w:sz w:val="24"/>
                <w:szCs w:val="24"/>
                <w:highlight w:val="none"/>
              </w:rPr>
            </w:pPr>
            <w:r>
              <w:rPr>
                <w:rFonts w:hint="eastAsia" w:ascii="宋体" w:hAnsi="宋体" w:cs="宋体"/>
                <w:b/>
                <w:color w:val="auto"/>
                <w:kern w:val="0"/>
                <w:sz w:val="24"/>
                <w:szCs w:val="24"/>
                <w:highlight w:val="none"/>
              </w:rPr>
              <w:t>17.3.6</w:t>
            </w:r>
          </w:p>
        </w:tc>
        <w:tc>
          <w:tcPr>
            <w:tcW w:w="5925" w:type="dxa"/>
            <w:vAlign w:val="center"/>
          </w:tcPr>
          <w:p w14:paraId="05CC4A49">
            <w:pPr>
              <w:spacing w:line="360" w:lineRule="auto"/>
              <w:jc w:val="left"/>
              <w:rPr>
                <w:rFonts w:hint="eastAsia" w:ascii="宋体" w:hAnsi="宋体" w:cs="宋体"/>
                <w:color w:val="auto"/>
                <w:sz w:val="24"/>
                <w:szCs w:val="24"/>
                <w:highlight w:val="none"/>
              </w:rPr>
            </w:pPr>
            <w:r>
              <w:rPr>
                <w:rFonts w:hint="eastAsia" w:ascii="宋体" w:hAnsi="宋体" w:cs="宋体"/>
                <w:b/>
                <w:color w:val="auto"/>
                <w:kern w:val="0"/>
                <w:sz w:val="24"/>
                <w:szCs w:val="24"/>
                <w:highlight w:val="none"/>
              </w:rPr>
              <w:t>17.3.6出现17.3.4、17.3.5情形之一的，作无效投标处理的</w:t>
            </w:r>
            <w:r>
              <w:rPr>
                <w:rFonts w:hint="eastAsia" w:ascii="宋体" w:hAnsi="宋体" w:cs="宋体"/>
                <w:b/>
                <w:color w:val="auto"/>
                <w:sz w:val="24"/>
                <w:szCs w:val="24"/>
                <w:highlight w:val="none"/>
              </w:rPr>
              <w:t>投标人的投标保证金将予以没收，招标代理机构有权上报财政部门取消其采购供应商资格、并按有关规定予以处罚。</w:t>
            </w:r>
          </w:p>
        </w:tc>
      </w:tr>
      <w:tr w14:paraId="708FD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019B0C7B">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21</w:t>
            </w:r>
          </w:p>
        </w:tc>
        <w:tc>
          <w:tcPr>
            <w:tcW w:w="696" w:type="dxa"/>
            <w:vAlign w:val="center"/>
          </w:tcPr>
          <w:p w14:paraId="4B7744B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vAlign w:val="center"/>
          </w:tcPr>
          <w:p w14:paraId="259D9740">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19.3</w:t>
            </w:r>
          </w:p>
        </w:tc>
        <w:tc>
          <w:tcPr>
            <w:tcW w:w="5925" w:type="dxa"/>
            <w:vAlign w:val="center"/>
          </w:tcPr>
          <w:p w14:paraId="45E83CB2">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19.3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14:paraId="4D04F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18F15A2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22</w:t>
            </w:r>
          </w:p>
        </w:tc>
        <w:tc>
          <w:tcPr>
            <w:tcW w:w="696" w:type="dxa"/>
            <w:vAlign w:val="center"/>
          </w:tcPr>
          <w:p w14:paraId="1B5C29A7">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vAlign w:val="center"/>
          </w:tcPr>
          <w:p w14:paraId="563FD1E2">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22</w:t>
            </w:r>
          </w:p>
        </w:tc>
        <w:tc>
          <w:tcPr>
            <w:tcW w:w="5925" w:type="dxa"/>
            <w:vAlign w:val="center"/>
          </w:tcPr>
          <w:p w14:paraId="278E6B0A">
            <w:pPr>
              <w:spacing w:line="360" w:lineRule="auto"/>
              <w:ind w:firstLine="480" w:firstLineChars="200"/>
              <w:rPr>
                <w:rFonts w:hint="eastAsia" w:ascii="宋体" w:hAnsi="宋体" w:cs="宋体"/>
                <w:b/>
                <w:color w:val="auto"/>
                <w:sz w:val="24"/>
                <w:szCs w:val="24"/>
                <w:highlight w:val="none"/>
              </w:rPr>
            </w:pPr>
            <w:r>
              <w:rPr>
                <w:rFonts w:hint="eastAsia" w:ascii="宋体" w:hAnsi="宋体" w:cs="宋体"/>
                <w:color w:val="auto"/>
                <w:sz w:val="24"/>
                <w:szCs w:val="24"/>
                <w:highlight w:val="none"/>
              </w:rPr>
              <w:t>投标人一旦中标，应在规定时间内凭中标通知书原件按第四章合同文本要求签订合同，并且凭中标供应商开具的本单位一般纳税人增值税专用发票（13%税点）向厦门万翔网络商务有限公司申请支付相应货款。</w:t>
            </w:r>
            <w:r>
              <w:rPr>
                <w:rFonts w:hint="eastAsia" w:ascii="宋体" w:hAnsi="宋体" w:cs="宋体"/>
                <w:bCs/>
                <w:color w:val="auto"/>
                <w:sz w:val="24"/>
                <w:szCs w:val="24"/>
                <w:highlight w:val="none"/>
              </w:rPr>
              <w:t>否则作无效投标处理。</w:t>
            </w:r>
            <w:r>
              <w:rPr>
                <w:rFonts w:hint="eastAsia" w:ascii="宋体" w:hAnsi="宋体" w:cs="宋体"/>
                <w:color w:val="auto"/>
                <w:sz w:val="24"/>
                <w:szCs w:val="24"/>
                <w:highlight w:val="none"/>
              </w:rPr>
              <w:t>经评审，若所有采购标的均为中小企业（含个体工商户）制造的货物，或者监狱企业提供本单位制造的货物；或者残疾人福利性单位提供本单位制造的货物（或提供其他残疾人福利性单位制造的货物），如需支付履约保证金的，按约定比例的50%支付。</w:t>
            </w:r>
          </w:p>
        </w:tc>
      </w:tr>
      <w:tr w14:paraId="70E5F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3325FEA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23</w:t>
            </w:r>
          </w:p>
        </w:tc>
        <w:tc>
          <w:tcPr>
            <w:tcW w:w="696" w:type="dxa"/>
            <w:vAlign w:val="center"/>
          </w:tcPr>
          <w:p w14:paraId="06E10AA9">
            <w:pPr>
              <w:spacing w:line="360" w:lineRule="auto"/>
              <w:jc w:val="center"/>
              <w:rPr>
                <w:rFonts w:hint="eastAsia" w:ascii="宋体" w:hAnsi="宋体" w:cs="宋体"/>
                <w:color w:val="auto"/>
                <w:sz w:val="24"/>
                <w:szCs w:val="24"/>
                <w:highlight w:val="none"/>
              </w:rPr>
            </w:pPr>
          </w:p>
        </w:tc>
        <w:tc>
          <w:tcPr>
            <w:tcW w:w="1422" w:type="dxa"/>
            <w:vAlign w:val="center"/>
          </w:tcPr>
          <w:p w14:paraId="180D53FC">
            <w:pPr>
              <w:spacing w:line="360" w:lineRule="auto"/>
              <w:jc w:val="center"/>
              <w:rPr>
                <w:rFonts w:hint="eastAsia" w:ascii="宋体" w:hAnsi="宋体" w:cs="宋体"/>
                <w:color w:val="auto"/>
                <w:sz w:val="24"/>
                <w:szCs w:val="24"/>
                <w:highlight w:val="none"/>
              </w:rPr>
            </w:pPr>
          </w:p>
        </w:tc>
        <w:tc>
          <w:tcPr>
            <w:tcW w:w="5925" w:type="dxa"/>
            <w:vAlign w:val="center"/>
          </w:tcPr>
          <w:p w14:paraId="6D2D1DAC">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投标人如果为联合体投标，则必须同时满足下列要求，否则</w:t>
            </w:r>
            <w:r>
              <w:rPr>
                <w:rFonts w:hint="eastAsia" w:ascii="宋体" w:hAnsi="宋体" w:cs="宋体"/>
                <w:color w:val="auto"/>
                <w:sz w:val="24"/>
                <w:szCs w:val="24"/>
                <w:highlight w:val="none"/>
              </w:rPr>
              <w:t>该投标人的投标将按照无效投标处理</w:t>
            </w:r>
            <w:r>
              <w:rPr>
                <w:rFonts w:hint="eastAsia" w:ascii="宋体" w:hAnsi="宋体" w:cs="宋体"/>
                <w:bCs/>
                <w:color w:val="auto"/>
                <w:sz w:val="24"/>
                <w:szCs w:val="24"/>
                <w:highlight w:val="none"/>
              </w:rPr>
              <w:t>：</w:t>
            </w:r>
          </w:p>
          <w:p w14:paraId="19679429">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①在开标一览表中注明是否联合体投标、联合体组成单位；</w:t>
            </w:r>
          </w:p>
          <w:p w14:paraId="440CD42D">
            <w:pPr>
              <w:spacing w:line="360" w:lineRule="auto"/>
              <w:jc w:val="left"/>
              <w:rPr>
                <w:rFonts w:hint="eastAsia" w:ascii="宋体" w:hAnsi="宋体" w:cs="宋体"/>
                <w:color w:val="auto"/>
                <w:sz w:val="24"/>
                <w:szCs w:val="24"/>
                <w:highlight w:val="none"/>
              </w:rPr>
            </w:pPr>
            <w:r>
              <w:rPr>
                <w:rFonts w:hint="eastAsia" w:ascii="宋体" w:hAnsi="宋体" w:cs="宋体"/>
                <w:bCs/>
                <w:color w:val="auto"/>
                <w:sz w:val="24"/>
                <w:szCs w:val="24"/>
                <w:highlight w:val="none"/>
              </w:rPr>
              <w:t>②在投标文件中提供各方盖章签署的共同投标协议扫描件。</w:t>
            </w:r>
          </w:p>
        </w:tc>
      </w:tr>
      <w:tr w14:paraId="1FDEA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594EAA5B">
            <w:pPr>
              <w:pStyle w:val="3"/>
              <w:snapToGrid w:val="0"/>
              <w:spacing w:line="360" w:lineRule="auto"/>
              <w:ind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24</w:t>
            </w:r>
          </w:p>
        </w:tc>
        <w:tc>
          <w:tcPr>
            <w:tcW w:w="696" w:type="dxa"/>
            <w:vAlign w:val="center"/>
          </w:tcPr>
          <w:p w14:paraId="367EBE91">
            <w:pPr>
              <w:spacing w:line="360" w:lineRule="auto"/>
              <w:jc w:val="center"/>
              <w:rPr>
                <w:rFonts w:hint="eastAsia" w:ascii="宋体" w:hAnsi="宋体" w:cs="宋体"/>
                <w:color w:val="auto"/>
                <w:sz w:val="24"/>
                <w:szCs w:val="24"/>
                <w:highlight w:val="none"/>
              </w:rPr>
            </w:pPr>
          </w:p>
        </w:tc>
        <w:tc>
          <w:tcPr>
            <w:tcW w:w="1422" w:type="dxa"/>
            <w:vAlign w:val="center"/>
          </w:tcPr>
          <w:p w14:paraId="4EF1644A">
            <w:pPr>
              <w:spacing w:line="360" w:lineRule="auto"/>
              <w:jc w:val="center"/>
              <w:rPr>
                <w:rFonts w:hint="eastAsia" w:ascii="宋体" w:hAnsi="宋体" w:cs="宋体"/>
                <w:color w:val="auto"/>
                <w:sz w:val="24"/>
                <w:szCs w:val="24"/>
                <w:highlight w:val="none"/>
              </w:rPr>
            </w:pPr>
          </w:p>
        </w:tc>
        <w:tc>
          <w:tcPr>
            <w:tcW w:w="5925" w:type="dxa"/>
            <w:vAlign w:val="center"/>
          </w:tcPr>
          <w:p w14:paraId="32B0623A">
            <w:pPr>
              <w:spacing w:line="360" w:lineRule="auto"/>
              <w:jc w:val="left"/>
              <w:rPr>
                <w:rFonts w:hint="eastAsia" w:ascii="宋体" w:hAnsi="宋体" w:cs="宋体"/>
                <w:color w:val="auto"/>
                <w:sz w:val="24"/>
                <w:szCs w:val="24"/>
                <w:highlight w:val="none"/>
              </w:rPr>
            </w:pPr>
            <w:r>
              <w:rPr>
                <w:rFonts w:hint="eastAsia" w:ascii="宋体" w:hAnsi="宋体" w:cs="宋体"/>
                <w:bCs/>
                <w:color w:val="auto"/>
                <w:sz w:val="24"/>
                <w:szCs w:val="24"/>
                <w:highlight w:val="none"/>
              </w:rPr>
              <w:t>投标文件中不得附有采购单位（或使用单位）不能接受的条款，</w:t>
            </w:r>
            <w:r>
              <w:rPr>
                <w:rFonts w:hint="eastAsia" w:ascii="宋体" w:hAnsi="宋体" w:cs="宋体"/>
                <w:color w:val="auto"/>
                <w:sz w:val="24"/>
                <w:szCs w:val="24"/>
                <w:highlight w:val="none"/>
              </w:rPr>
              <w:t>否则该投标人的投标将按照无效投标处理。</w:t>
            </w:r>
          </w:p>
        </w:tc>
      </w:tr>
      <w:tr w14:paraId="44B46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4B7A9FF7">
            <w:pPr>
              <w:pStyle w:val="3"/>
              <w:snapToGrid w:val="0"/>
              <w:spacing w:line="360" w:lineRule="auto"/>
              <w:ind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25</w:t>
            </w:r>
          </w:p>
        </w:tc>
        <w:tc>
          <w:tcPr>
            <w:tcW w:w="696" w:type="dxa"/>
            <w:vAlign w:val="center"/>
          </w:tcPr>
          <w:p w14:paraId="28EC1E81">
            <w:pPr>
              <w:pStyle w:val="3"/>
              <w:snapToGrid w:val="0"/>
              <w:spacing w:line="360" w:lineRule="auto"/>
              <w:ind w:firstLine="0"/>
              <w:jc w:val="center"/>
              <w:rPr>
                <w:rFonts w:hint="eastAsia" w:ascii="宋体" w:hAnsi="宋体" w:cs="宋体"/>
                <w:color w:val="auto"/>
                <w:sz w:val="24"/>
                <w:szCs w:val="24"/>
                <w:highlight w:val="none"/>
              </w:rPr>
            </w:pPr>
          </w:p>
        </w:tc>
        <w:tc>
          <w:tcPr>
            <w:tcW w:w="1422" w:type="dxa"/>
            <w:vAlign w:val="center"/>
          </w:tcPr>
          <w:p w14:paraId="38DC5388">
            <w:pPr>
              <w:pStyle w:val="3"/>
              <w:snapToGrid w:val="0"/>
              <w:spacing w:line="360" w:lineRule="auto"/>
              <w:ind w:firstLine="0"/>
              <w:jc w:val="center"/>
              <w:rPr>
                <w:rFonts w:hint="eastAsia" w:ascii="宋体" w:hAnsi="宋体" w:cs="宋体"/>
                <w:b/>
                <w:color w:val="auto"/>
                <w:sz w:val="24"/>
                <w:szCs w:val="24"/>
                <w:highlight w:val="none"/>
              </w:rPr>
            </w:pPr>
          </w:p>
        </w:tc>
        <w:tc>
          <w:tcPr>
            <w:tcW w:w="5925" w:type="dxa"/>
            <w:vAlign w:val="center"/>
          </w:tcPr>
          <w:p w14:paraId="3B951597">
            <w:pPr>
              <w:pStyle w:val="3"/>
              <w:snapToGrid w:val="0"/>
              <w:spacing w:line="360" w:lineRule="auto"/>
              <w:ind w:firstLine="0"/>
              <w:jc w:val="left"/>
              <w:rPr>
                <w:rFonts w:hint="eastAsia" w:ascii="宋体" w:hAnsi="宋体" w:cs="宋体"/>
                <w:b/>
                <w:color w:val="auto"/>
                <w:sz w:val="24"/>
                <w:szCs w:val="24"/>
                <w:highlight w:val="none"/>
              </w:rPr>
            </w:pPr>
            <w:r>
              <w:rPr>
                <w:rFonts w:hint="eastAsia" w:ascii="宋体" w:hAnsi="宋体" w:cs="宋体"/>
                <w:bCs/>
                <w:color w:val="auto"/>
                <w:sz w:val="24"/>
                <w:szCs w:val="24"/>
                <w:highlight w:val="none"/>
              </w:rPr>
              <w:t>本项目以合同包为单位，对于每个合同包，投标人必须完整地提供合同包要求的所有货物和服务，否则</w:t>
            </w:r>
            <w:r>
              <w:rPr>
                <w:rFonts w:hint="eastAsia" w:ascii="宋体" w:hAnsi="宋体" w:cs="宋体"/>
                <w:color w:val="auto"/>
                <w:sz w:val="24"/>
                <w:szCs w:val="24"/>
                <w:highlight w:val="none"/>
              </w:rPr>
              <w:t>该投标人针对该合同包的投标将按照无效投标处理</w:t>
            </w:r>
            <w:r>
              <w:rPr>
                <w:rFonts w:hint="eastAsia" w:ascii="宋体" w:hAnsi="宋体" w:cs="宋体"/>
                <w:bCs/>
                <w:color w:val="auto"/>
                <w:sz w:val="24"/>
                <w:szCs w:val="24"/>
                <w:highlight w:val="none"/>
              </w:rPr>
              <w:t>。</w:t>
            </w:r>
          </w:p>
        </w:tc>
      </w:tr>
      <w:tr w14:paraId="55D14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2B59C69F">
            <w:pPr>
              <w:pStyle w:val="3"/>
              <w:snapToGrid w:val="0"/>
              <w:spacing w:line="360" w:lineRule="auto"/>
              <w:ind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26</w:t>
            </w:r>
          </w:p>
        </w:tc>
        <w:tc>
          <w:tcPr>
            <w:tcW w:w="696" w:type="dxa"/>
            <w:vAlign w:val="center"/>
          </w:tcPr>
          <w:p w14:paraId="3275BA13">
            <w:pPr>
              <w:pStyle w:val="3"/>
              <w:snapToGrid w:val="0"/>
              <w:spacing w:line="360" w:lineRule="auto"/>
              <w:ind w:firstLine="0"/>
              <w:jc w:val="center"/>
              <w:rPr>
                <w:rFonts w:hint="eastAsia" w:ascii="宋体" w:hAnsi="宋体" w:cs="宋体"/>
                <w:b/>
                <w:color w:val="auto"/>
                <w:sz w:val="24"/>
                <w:szCs w:val="24"/>
                <w:highlight w:val="none"/>
              </w:rPr>
            </w:pPr>
          </w:p>
        </w:tc>
        <w:tc>
          <w:tcPr>
            <w:tcW w:w="1422" w:type="dxa"/>
            <w:vAlign w:val="center"/>
          </w:tcPr>
          <w:p w14:paraId="02CBFF2C">
            <w:pPr>
              <w:pStyle w:val="3"/>
              <w:snapToGrid w:val="0"/>
              <w:spacing w:line="360" w:lineRule="auto"/>
              <w:ind w:firstLine="0"/>
              <w:jc w:val="center"/>
              <w:rPr>
                <w:rFonts w:hint="eastAsia" w:ascii="宋体" w:hAnsi="宋体" w:cs="宋体"/>
                <w:b/>
                <w:color w:val="auto"/>
                <w:sz w:val="24"/>
                <w:szCs w:val="24"/>
                <w:highlight w:val="none"/>
              </w:rPr>
            </w:pPr>
          </w:p>
        </w:tc>
        <w:tc>
          <w:tcPr>
            <w:tcW w:w="5925" w:type="dxa"/>
            <w:vAlign w:val="center"/>
          </w:tcPr>
          <w:p w14:paraId="459A6D82">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投标人应对其在投标文件中声明的关于中小企业事项的真实性负责，存在以下情形之一的，经评标委员会查实，应认定存在虚假的：</w:t>
            </w:r>
          </w:p>
          <w:p w14:paraId="68825248">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（1）投标人（包括联合体任一方）不符合“工信部联企业[2011]300号”规定的中小企业标准的；</w:t>
            </w:r>
          </w:p>
          <w:p w14:paraId="13B0CFC6">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（2）投标货物全部或部分为使用大型企业注册商标的货物的；</w:t>
            </w:r>
          </w:p>
          <w:p w14:paraId="418AF680">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（3）投标文件中标明的小型或微型企业产品的制造商不符合“工信部联企业[2011]300号”规定的小型和微型企业标准的。</w:t>
            </w:r>
          </w:p>
          <w:p w14:paraId="18B6640A">
            <w:pPr>
              <w:pStyle w:val="3"/>
              <w:snapToGrid w:val="0"/>
              <w:spacing w:line="360" w:lineRule="auto"/>
              <w:ind w:firstLine="0"/>
              <w:jc w:val="left"/>
              <w:rPr>
                <w:rFonts w:hint="eastAsia" w:ascii="宋体" w:hAnsi="宋体" w:cs="宋体"/>
                <w:b/>
                <w:color w:val="auto"/>
                <w:sz w:val="24"/>
                <w:szCs w:val="24"/>
                <w:highlight w:val="none"/>
              </w:rPr>
            </w:pPr>
            <w:r>
              <w:rPr>
                <w:rFonts w:hint="eastAsia" w:ascii="宋体" w:hAnsi="宋体" w:cs="宋体"/>
                <w:bCs/>
                <w:color w:val="auto"/>
                <w:sz w:val="24"/>
                <w:szCs w:val="24"/>
                <w:highlight w:val="none"/>
              </w:rPr>
              <w:t>在评审过程中发现上述虚假情形的，该投标人的投标作无效投标处理。</w:t>
            </w:r>
          </w:p>
        </w:tc>
      </w:tr>
      <w:tr w14:paraId="71BCA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14:paraId="1A6D3B5C">
            <w:pPr>
              <w:pStyle w:val="3"/>
              <w:snapToGrid w:val="0"/>
              <w:spacing w:line="360" w:lineRule="auto"/>
              <w:ind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27</w:t>
            </w:r>
          </w:p>
        </w:tc>
        <w:tc>
          <w:tcPr>
            <w:tcW w:w="696" w:type="dxa"/>
            <w:vAlign w:val="center"/>
          </w:tcPr>
          <w:p w14:paraId="27B328E2">
            <w:pPr>
              <w:pStyle w:val="3"/>
              <w:snapToGrid w:val="0"/>
              <w:spacing w:line="360" w:lineRule="auto"/>
              <w:ind w:firstLine="0"/>
              <w:jc w:val="center"/>
              <w:rPr>
                <w:rFonts w:hint="eastAsia" w:ascii="宋体" w:hAnsi="宋体" w:cs="宋体"/>
                <w:b/>
                <w:color w:val="auto"/>
                <w:sz w:val="24"/>
                <w:szCs w:val="24"/>
                <w:highlight w:val="none"/>
              </w:rPr>
            </w:pPr>
          </w:p>
        </w:tc>
        <w:tc>
          <w:tcPr>
            <w:tcW w:w="1422" w:type="dxa"/>
            <w:vAlign w:val="center"/>
          </w:tcPr>
          <w:p w14:paraId="67DA0077">
            <w:pPr>
              <w:pStyle w:val="3"/>
              <w:snapToGrid w:val="0"/>
              <w:spacing w:line="360" w:lineRule="auto"/>
              <w:ind w:firstLine="0"/>
              <w:jc w:val="center"/>
              <w:rPr>
                <w:rFonts w:hint="eastAsia" w:ascii="宋体" w:hAnsi="宋体" w:cs="宋体"/>
                <w:b/>
                <w:color w:val="auto"/>
                <w:sz w:val="24"/>
                <w:szCs w:val="24"/>
                <w:highlight w:val="none"/>
              </w:rPr>
            </w:pPr>
          </w:p>
        </w:tc>
        <w:tc>
          <w:tcPr>
            <w:tcW w:w="5925" w:type="dxa"/>
            <w:vAlign w:val="center"/>
          </w:tcPr>
          <w:p w14:paraId="389C646E">
            <w:pPr>
              <w:pStyle w:val="3"/>
              <w:snapToGrid w:val="0"/>
              <w:spacing w:line="360" w:lineRule="auto"/>
              <w:ind w:firstLine="0"/>
              <w:jc w:val="left"/>
              <w:rPr>
                <w:rFonts w:hint="eastAsia" w:ascii="宋体" w:hAnsi="宋体" w:cs="宋体"/>
                <w:color w:val="auto"/>
                <w:sz w:val="24"/>
                <w:szCs w:val="24"/>
                <w:highlight w:val="none"/>
              </w:rPr>
            </w:pPr>
            <w:r>
              <w:rPr>
                <w:rFonts w:hint="eastAsia" w:ascii="宋体" w:hAnsi="宋体" w:cs="宋体"/>
                <w:bCs/>
                <w:color w:val="auto"/>
                <w:sz w:val="24"/>
                <w:szCs w:val="24"/>
                <w:highlight w:val="none"/>
              </w:rPr>
              <w:t>全免交纳投标保证金的投标人未按照招标文件格式要求在投标文件中提供《中小企业声明函》的，其投标作无效投标处理。</w:t>
            </w:r>
          </w:p>
        </w:tc>
      </w:tr>
      <w:tr w14:paraId="07688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73D62727">
            <w:pPr>
              <w:pStyle w:val="3"/>
              <w:snapToGrid w:val="0"/>
              <w:spacing w:line="360" w:lineRule="auto"/>
              <w:ind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28</w:t>
            </w:r>
          </w:p>
        </w:tc>
        <w:tc>
          <w:tcPr>
            <w:tcW w:w="696" w:type="dxa"/>
            <w:tcBorders>
              <w:bottom w:val="single" w:color="auto" w:sz="4" w:space="0"/>
            </w:tcBorders>
            <w:vAlign w:val="center"/>
          </w:tcPr>
          <w:p w14:paraId="10EBF4F6">
            <w:pPr>
              <w:pStyle w:val="3"/>
              <w:snapToGrid w:val="0"/>
              <w:spacing w:line="360" w:lineRule="auto"/>
              <w:ind w:firstLine="0"/>
              <w:jc w:val="center"/>
              <w:rPr>
                <w:rFonts w:hint="eastAsia" w:ascii="宋体" w:hAnsi="宋体" w:cs="宋体"/>
                <w:b/>
                <w:color w:val="auto"/>
                <w:sz w:val="24"/>
                <w:szCs w:val="24"/>
                <w:highlight w:val="none"/>
              </w:rPr>
            </w:pPr>
          </w:p>
        </w:tc>
        <w:tc>
          <w:tcPr>
            <w:tcW w:w="1422" w:type="dxa"/>
            <w:tcBorders>
              <w:bottom w:val="single" w:color="auto" w:sz="4" w:space="0"/>
            </w:tcBorders>
            <w:vAlign w:val="center"/>
          </w:tcPr>
          <w:p w14:paraId="775FADFB">
            <w:pPr>
              <w:pStyle w:val="3"/>
              <w:snapToGrid w:val="0"/>
              <w:spacing w:line="360" w:lineRule="auto"/>
              <w:ind w:firstLine="0"/>
              <w:jc w:val="center"/>
              <w:rPr>
                <w:rFonts w:hint="eastAsia" w:ascii="宋体" w:hAnsi="宋体" w:cs="宋体"/>
                <w:b/>
                <w:color w:val="auto"/>
                <w:sz w:val="24"/>
                <w:szCs w:val="24"/>
                <w:highlight w:val="none"/>
              </w:rPr>
            </w:pPr>
          </w:p>
        </w:tc>
        <w:tc>
          <w:tcPr>
            <w:tcW w:w="5925" w:type="dxa"/>
            <w:tcBorders>
              <w:bottom w:val="single" w:color="auto" w:sz="4" w:space="0"/>
            </w:tcBorders>
            <w:vAlign w:val="center"/>
          </w:tcPr>
          <w:p w14:paraId="25C1E600">
            <w:pPr>
              <w:pStyle w:val="3"/>
              <w:snapToGrid w:val="0"/>
              <w:spacing w:line="360" w:lineRule="auto"/>
              <w:ind w:firstLine="0"/>
              <w:rPr>
                <w:rFonts w:hint="eastAsia" w:ascii="宋体" w:hAnsi="宋体" w:cs="宋体"/>
                <w:b/>
                <w:color w:val="auto"/>
                <w:sz w:val="24"/>
                <w:szCs w:val="24"/>
                <w:highlight w:val="none"/>
              </w:rPr>
            </w:pPr>
            <w:r>
              <w:rPr>
                <w:rFonts w:hint="eastAsia" w:ascii="宋体" w:hAnsi="宋体" w:cs="宋体"/>
                <w:bCs/>
                <w:color w:val="auto"/>
                <w:sz w:val="24"/>
                <w:szCs w:val="24"/>
                <w:highlight w:val="none"/>
              </w:rPr>
              <w:t>投标人应按照招标文件格式要求在投标文件中提供《廉洁承诺书》原件扫描件（投标人为联合体的，联合体各方均应提供《廉洁承诺书》原件扫描件），否则作无效投标处理。</w:t>
            </w:r>
          </w:p>
        </w:tc>
      </w:tr>
      <w:tr w14:paraId="5D2ED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6C637A9C">
            <w:pPr>
              <w:pStyle w:val="3"/>
              <w:snapToGrid w:val="0"/>
              <w:spacing w:line="360" w:lineRule="auto"/>
              <w:ind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29</w:t>
            </w:r>
          </w:p>
        </w:tc>
        <w:tc>
          <w:tcPr>
            <w:tcW w:w="696" w:type="dxa"/>
            <w:tcBorders>
              <w:bottom w:val="single" w:color="auto" w:sz="4" w:space="0"/>
            </w:tcBorders>
            <w:vAlign w:val="center"/>
          </w:tcPr>
          <w:p w14:paraId="680EA2C8">
            <w:pPr>
              <w:pStyle w:val="3"/>
              <w:snapToGrid w:val="0"/>
              <w:spacing w:line="360" w:lineRule="auto"/>
              <w:ind w:firstLine="0"/>
              <w:jc w:val="center"/>
              <w:rPr>
                <w:rFonts w:hint="eastAsia" w:ascii="宋体" w:hAnsi="宋体" w:cs="宋体"/>
                <w:b/>
                <w:color w:val="auto"/>
                <w:sz w:val="24"/>
                <w:szCs w:val="24"/>
                <w:highlight w:val="none"/>
              </w:rPr>
            </w:pPr>
          </w:p>
        </w:tc>
        <w:tc>
          <w:tcPr>
            <w:tcW w:w="1422" w:type="dxa"/>
            <w:tcBorders>
              <w:bottom w:val="single" w:color="auto" w:sz="4" w:space="0"/>
            </w:tcBorders>
            <w:vAlign w:val="center"/>
          </w:tcPr>
          <w:p w14:paraId="453C5760">
            <w:pPr>
              <w:pStyle w:val="3"/>
              <w:snapToGrid w:val="0"/>
              <w:spacing w:line="360" w:lineRule="auto"/>
              <w:ind w:firstLine="0"/>
              <w:jc w:val="center"/>
              <w:rPr>
                <w:rFonts w:hint="eastAsia" w:ascii="宋体" w:hAnsi="宋体" w:cs="宋体"/>
                <w:b/>
                <w:color w:val="auto"/>
                <w:sz w:val="24"/>
                <w:szCs w:val="24"/>
                <w:highlight w:val="none"/>
              </w:rPr>
            </w:pPr>
          </w:p>
        </w:tc>
        <w:tc>
          <w:tcPr>
            <w:tcW w:w="5925" w:type="dxa"/>
            <w:tcBorders>
              <w:bottom w:val="single" w:color="auto" w:sz="4" w:space="0"/>
            </w:tcBorders>
            <w:vAlign w:val="center"/>
          </w:tcPr>
          <w:p w14:paraId="141F07AA">
            <w:pPr>
              <w:spacing w:line="360" w:lineRule="auto"/>
              <w:rPr>
                <w:rFonts w:hint="eastAsia" w:ascii="宋体" w:hAnsi="宋体" w:cs="宋体"/>
                <w:b/>
                <w:color w:val="auto"/>
                <w:sz w:val="24"/>
                <w:szCs w:val="24"/>
                <w:highlight w:val="none"/>
              </w:rPr>
            </w:pPr>
            <w:r>
              <w:rPr>
                <w:rFonts w:hint="eastAsia" w:ascii="宋体" w:hAnsi="宋体" w:cs="宋体"/>
                <w:bCs/>
                <w:color w:val="auto"/>
                <w:sz w:val="24"/>
                <w:szCs w:val="24"/>
                <w:highlight w:val="none"/>
              </w:rPr>
              <w:t>其他不满足招标文件要求经评标委员会认定须作无效投标处理的。</w:t>
            </w:r>
          </w:p>
        </w:tc>
      </w:tr>
      <w:tr w14:paraId="16879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07CD568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30</w:t>
            </w:r>
          </w:p>
        </w:tc>
        <w:tc>
          <w:tcPr>
            <w:tcW w:w="696" w:type="dxa"/>
            <w:tcBorders>
              <w:bottom w:val="single" w:color="auto" w:sz="4" w:space="0"/>
            </w:tcBorders>
            <w:vAlign w:val="center"/>
          </w:tcPr>
          <w:p w14:paraId="4C6D4BBE">
            <w:pPr>
              <w:spacing w:line="360" w:lineRule="auto"/>
              <w:jc w:val="center"/>
              <w:rPr>
                <w:rFonts w:hint="eastAsia" w:ascii="宋体" w:hAnsi="宋体" w:cs="宋体"/>
                <w:color w:val="auto"/>
                <w:sz w:val="24"/>
                <w:szCs w:val="24"/>
                <w:highlight w:val="none"/>
              </w:rPr>
            </w:pPr>
          </w:p>
        </w:tc>
        <w:tc>
          <w:tcPr>
            <w:tcW w:w="1422" w:type="dxa"/>
            <w:tcBorders>
              <w:bottom w:val="single" w:color="auto" w:sz="4" w:space="0"/>
            </w:tcBorders>
            <w:vAlign w:val="center"/>
          </w:tcPr>
          <w:p w14:paraId="37D1A3C3">
            <w:pPr>
              <w:spacing w:line="360" w:lineRule="auto"/>
              <w:jc w:val="center"/>
              <w:rPr>
                <w:rFonts w:hint="eastAsia" w:ascii="宋体" w:hAnsi="宋体" w:cs="宋体"/>
                <w:color w:val="auto"/>
                <w:sz w:val="24"/>
                <w:szCs w:val="24"/>
                <w:highlight w:val="none"/>
              </w:rPr>
            </w:pPr>
          </w:p>
        </w:tc>
        <w:tc>
          <w:tcPr>
            <w:tcW w:w="5925" w:type="dxa"/>
            <w:tcBorders>
              <w:bottom w:val="single" w:color="auto" w:sz="4" w:space="0"/>
            </w:tcBorders>
            <w:vAlign w:val="center"/>
          </w:tcPr>
          <w:p w14:paraId="24322586">
            <w:pPr>
              <w:pStyle w:val="18"/>
              <w:spacing w:line="360" w:lineRule="auto"/>
              <w:rPr>
                <w:rFonts w:hint="eastAsia" w:hAnsi="宋体" w:cs="宋体"/>
                <w:color w:val="auto"/>
                <w:highlight w:val="none"/>
              </w:rPr>
            </w:pPr>
            <w:r>
              <w:rPr>
                <w:rFonts w:hint="eastAsia" w:hAnsi="宋体" w:cs="宋体"/>
                <w:color w:val="auto"/>
                <w:highlight w:val="none"/>
              </w:rPr>
              <w:t>本项目中如涉及商品包装和快递包装的，其包装需求标准应不低于《关于印发〈商品包装政府采购需求标准(试行)〉、〈快递包装政府采购需求标准(试行)〉的通知》（财办库〔2020〕 123号）规定的包装要求，其他包装需求详见招标文件具体规定。采购单位、中标供应商双方签订合同及验收环节，应包含上述包装要求的条款。</w:t>
            </w:r>
          </w:p>
          <w:p w14:paraId="67E517A7">
            <w:pPr>
              <w:spacing w:line="360" w:lineRule="auto"/>
              <w:rPr>
                <w:rFonts w:hint="eastAsia" w:ascii="宋体" w:hAnsi="宋体" w:cs="宋体"/>
                <w:color w:val="auto"/>
                <w:sz w:val="24"/>
                <w:szCs w:val="24"/>
                <w:highlight w:val="none"/>
              </w:rPr>
            </w:pPr>
          </w:p>
        </w:tc>
      </w:tr>
      <w:tr w14:paraId="60778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4E79989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31</w:t>
            </w:r>
          </w:p>
        </w:tc>
        <w:tc>
          <w:tcPr>
            <w:tcW w:w="696" w:type="dxa"/>
            <w:tcBorders>
              <w:bottom w:val="single" w:color="auto" w:sz="4" w:space="0"/>
            </w:tcBorders>
            <w:vAlign w:val="center"/>
          </w:tcPr>
          <w:p w14:paraId="59ADF56F">
            <w:pPr>
              <w:spacing w:line="360" w:lineRule="auto"/>
              <w:jc w:val="center"/>
              <w:rPr>
                <w:rFonts w:hint="eastAsia" w:ascii="宋体" w:hAnsi="宋体" w:cs="宋体"/>
                <w:color w:val="auto"/>
                <w:sz w:val="24"/>
                <w:szCs w:val="24"/>
                <w:highlight w:val="none"/>
              </w:rPr>
            </w:pPr>
          </w:p>
        </w:tc>
        <w:tc>
          <w:tcPr>
            <w:tcW w:w="1422" w:type="dxa"/>
            <w:tcBorders>
              <w:bottom w:val="single" w:color="auto" w:sz="4" w:space="0"/>
            </w:tcBorders>
            <w:vAlign w:val="center"/>
          </w:tcPr>
          <w:p w14:paraId="4F317F4D">
            <w:pPr>
              <w:spacing w:line="360" w:lineRule="auto"/>
              <w:jc w:val="center"/>
              <w:rPr>
                <w:rFonts w:hint="eastAsia" w:ascii="宋体" w:hAnsi="宋体" w:cs="宋体"/>
                <w:color w:val="auto"/>
                <w:sz w:val="24"/>
                <w:szCs w:val="24"/>
                <w:highlight w:val="none"/>
              </w:rPr>
            </w:pPr>
          </w:p>
        </w:tc>
        <w:tc>
          <w:tcPr>
            <w:tcW w:w="5925" w:type="dxa"/>
            <w:tcBorders>
              <w:bottom w:val="single" w:color="auto" w:sz="4" w:space="0"/>
            </w:tcBorders>
            <w:vAlign w:val="center"/>
          </w:tcPr>
          <w:p w14:paraId="29538273">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政府采购评审中出现下列情形之一的，评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委员会应当启动异常低价投标审查程序：</w:t>
            </w:r>
          </w:p>
          <w:p w14:paraId="5D4400AF">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（1）投标报价低于全部通过符合性审</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投标报价平均值50%的，即投标报价&lt;全部通过符合性审查</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投标报价平均值×50%；</w:t>
            </w:r>
          </w:p>
          <w:p w14:paraId="18BB3DBF">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）投标报价低于通过符合性审查的次低报价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投标报价50%的，即投标报价&lt;通过符合性审查的次低报价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投标报价×50%；</w:t>
            </w:r>
          </w:p>
          <w:p w14:paraId="75EFA636">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）投标报价低于采购项目最高限价45%的，即投标报价&lt;采购项目最高限价×45%；</w:t>
            </w:r>
          </w:p>
          <w:p w14:paraId="2CCEB3CA">
            <w:pPr>
              <w:widowControl w:val="0"/>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委员会基于专业判断，认为</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报价过低，有可能影响产品质量或者不能诚信履约的其他情形。</w:t>
            </w:r>
          </w:p>
          <w:p w14:paraId="5F25BAC4">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eastAsia" w:ascii="宋体" w:hAnsi="宋体" w:cs="宋体"/>
                <w:color w:val="auto"/>
                <w:sz w:val="24"/>
                <w:szCs w:val="24"/>
                <w:highlight w:val="none"/>
                <w:lang w:val="en-US" w:eastAsia="zh-CN"/>
              </w:rPr>
              <w:t>5</w:t>
            </w:r>
            <w:r>
              <w:rPr>
                <w:rFonts w:hint="eastAsia" w:ascii="宋体" w:hAnsi="宋体" w:eastAsia="宋体" w:cs="宋体"/>
                <w:color w:val="auto"/>
                <w:sz w:val="24"/>
                <w:szCs w:val="24"/>
                <w:highlight w:val="none"/>
                <w:lang w:val="en-US" w:eastAsia="zh-CN"/>
              </w:rPr>
              <w:t>）</w:t>
            </w:r>
            <w:r>
              <w:rPr>
                <w:rFonts w:hint="eastAsia" w:ascii="宋体" w:hAnsi="宋体" w:cs="宋体"/>
                <w:color w:val="auto"/>
                <w:sz w:val="24"/>
                <w:szCs w:val="24"/>
                <w:highlight w:val="none"/>
              </w:rPr>
              <w:t>评审委员会启动异常低价投标(响应)审查后，应当要求相关供应商在评审现场合理的时间内提供书面说明及必要的证明材料，对投标(响应)价格作出解释。书面说明、证明材料主要是项目具体成本测算等与报价合理性相关的说明、材料。”的规定，投标人应提前做好报价必要的证明材料，自行承担因材料准备不及时而导致的超时提交的风险。</w:t>
            </w:r>
          </w:p>
        </w:tc>
      </w:tr>
      <w:tr w14:paraId="56FF7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6EF332D4">
            <w:pPr>
              <w:spacing w:line="360" w:lineRule="auto"/>
              <w:jc w:val="center"/>
              <w:rPr>
                <w:rFonts w:hint="eastAsia" w:ascii="宋体" w:hAnsi="宋体" w:cs="宋体"/>
                <w:color w:val="auto"/>
                <w:sz w:val="24"/>
                <w:szCs w:val="24"/>
                <w:highlight w:val="none"/>
              </w:rPr>
            </w:pPr>
          </w:p>
        </w:tc>
        <w:tc>
          <w:tcPr>
            <w:tcW w:w="696" w:type="dxa"/>
            <w:tcBorders>
              <w:bottom w:val="single" w:color="auto" w:sz="4" w:space="0"/>
            </w:tcBorders>
            <w:vAlign w:val="center"/>
          </w:tcPr>
          <w:p w14:paraId="7A4149A5">
            <w:pPr>
              <w:spacing w:line="360" w:lineRule="auto"/>
              <w:jc w:val="center"/>
              <w:rPr>
                <w:rFonts w:hint="eastAsia" w:ascii="宋体" w:hAnsi="宋体" w:cs="宋体"/>
                <w:color w:val="auto"/>
                <w:sz w:val="24"/>
                <w:szCs w:val="24"/>
                <w:highlight w:val="none"/>
              </w:rPr>
            </w:pPr>
          </w:p>
        </w:tc>
        <w:tc>
          <w:tcPr>
            <w:tcW w:w="1422" w:type="dxa"/>
            <w:tcBorders>
              <w:bottom w:val="single" w:color="auto" w:sz="4" w:space="0"/>
            </w:tcBorders>
            <w:vAlign w:val="center"/>
          </w:tcPr>
          <w:p w14:paraId="5CE2D90C">
            <w:pPr>
              <w:spacing w:line="360" w:lineRule="auto"/>
              <w:jc w:val="center"/>
              <w:rPr>
                <w:rFonts w:hint="eastAsia" w:ascii="宋体" w:hAnsi="宋体" w:cs="宋体"/>
                <w:color w:val="auto"/>
                <w:sz w:val="24"/>
                <w:szCs w:val="24"/>
                <w:highlight w:val="none"/>
              </w:rPr>
            </w:pPr>
          </w:p>
        </w:tc>
        <w:tc>
          <w:tcPr>
            <w:tcW w:w="5925" w:type="dxa"/>
            <w:tcBorders>
              <w:bottom w:val="single" w:color="auto" w:sz="4" w:space="0"/>
            </w:tcBorders>
            <w:vAlign w:val="center"/>
          </w:tcPr>
          <w:p w14:paraId="382CB19E">
            <w:pPr>
              <w:widowControl/>
              <w:spacing w:line="360" w:lineRule="auto"/>
              <w:ind w:firstLine="470"/>
              <w:jc w:val="left"/>
              <w:rPr>
                <w:rFonts w:hint="eastAsia" w:ascii="宋体" w:hAnsi="宋体"/>
                <w:b/>
                <w:bCs/>
                <w:color w:val="auto"/>
                <w:sz w:val="24"/>
                <w:szCs w:val="24"/>
                <w:highlight w:val="none"/>
              </w:rPr>
            </w:pPr>
            <w:r>
              <w:rPr>
                <w:rFonts w:hint="eastAsia" w:ascii="宋体" w:hAnsi="宋体"/>
                <w:b/>
                <w:bCs/>
                <w:color w:val="auto"/>
                <w:sz w:val="24"/>
                <w:szCs w:val="24"/>
                <w:highlight w:val="none"/>
              </w:rPr>
              <w:t>8、样品要求</w:t>
            </w:r>
          </w:p>
          <w:p w14:paraId="6D21F293">
            <w:pPr>
              <w:rPr>
                <w:color w:val="auto"/>
                <w:highlight w:val="none"/>
              </w:rPr>
            </w:pPr>
          </w:p>
          <w:p w14:paraId="178DC31C">
            <w:pPr>
              <w:rPr>
                <w:color w:val="auto"/>
                <w:highlight w:val="none"/>
              </w:rPr>
            </w:pPr>
          </w:p>
          <w:tbl>
            <w:tblPr>
              <w:tblStyle w:val="14"/>
              <w:tblW w:w="56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8"/>
              <w:gridCol w:w="619"/>
              <w:gridCol w:w="2888"/>
              <w:gridCol w:w="1169"/>
              <w:gridCol w:w="645"/>
            </w:tblGrid>
            <w:tr w14:paraId="3B868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378" w:type="dxa"/>
                  <w:vAlign w:val="center"/>
                </w:tcPr>
                <w:p w14:paraId="3E292C6B">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序号</w:t>
                  </w:r>
                </w:p>
              </w:tc>
              <w:tc>
                <w:tcPr>
                  <w:tcW w:w="619" w:type="dxa"/>
                  <w:vAlign w:val="center"/>
                </w:tcPr>
                <w:p w14:paraId="6A2279FF">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样品名称</w:t>
                  </w:r>
                </w:p>
              </w:tc>
              <w:tc>
                <w:tcPr>
                  <w:tcW w:w="2888" w:type="dxa"/>
                  <w:vAlign w:val="center"/>
                </w:tcPr>
                <w:p w14:paraId="7954A5FF">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样品制作要求</w:t>
                  </w:r>
                </w:p>
              </w:tc>
              <w:tc>
                <w:tcPr>
                  <w:tcW w:w="1169" w:type="dxa"/>
                  <w:vAlign w:val="center"/>
                </w:tcPr>
                <w:p w14:paraId="3EB65A94">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规格尺寸</w:t>
                  </w:r>
                </w:p>
              </w:tc>
              <w:tc>
                <w:tcPr>
                  <w:tcW w:w="645" w:type="dxa"/>
                  <w:vAlign w:val="center"/>
                </w:tcPr>
                <w:p w14:paraId="532B1128">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数量</w:t>
                  </w:r>
                </w:p>
              </w:tc>
            </w:tr>
            <w:tr w14:paraId="3748E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378" w:type="dxa"/>
                  <w:vAlign w:val="center"/>
                </w:tcPr>
                <w:p w14:paraId="77449934">
                  <w:pPr>
                    <w:pStyle w:val="11"/>
                    <w:spacing w:after="150" w:line="293" w:lineRule="atLeast"/>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color w:val="auto"/>
                      <w:highlight w:val="none"/>
                    </w:rPr>
                    <w:t>1</w:t>
                  </w:r>
                </w:p>
              </w:tc>
              <w:tc>
                <w:tcPr>
                  <w:tcW w:w="619" w:type="dxa"/>
                  <w:vAlign w:val="center"/>
                </w:tcPr>
                <w:p w14:paraId="7901D164">
                  <w:pPr>
                    <w:pStyle w:val="11"/>
                    <w:spacing w:after="150"/>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kern w:val="2"/>
                      <w:highlight w:val="none"/>
                    </w:rPr>
                    <w:t>立柱</w:t>
                  </w:r>
                </w:p>
              </w:tc>
              <w:tc>
                <w:tcPr>
                  <w:tcW w:w="2888" w:type="dxa"/>
                  <w:vAlign w:val="center"/>
                </w:tcPr>
                <w:p w14:paraId="4F608FD3">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立柱选用</w:t>
                  </w:r>
                  <w:r>
                    <w:rPr>
                      <w:rFonts w:hint="eastAsia" w:asciiTheme="minorEastAsia" w:hAnsiTheme="minorEastAsia" w:eastAsiaTheme="minorEastAsia" w:cstheme="minorEastAsia"/>
                      <w:b/>
                      <w:bCs/>
                      <w:color w:val="auto"/>
                      <w:sz w:val="24"/>
                      <w:szCs w:val="24"/>
                      <w:highlight w:val="none"/>
                      <w:lang w:eastAsia="zh-CN"/>
                    </w:rPr>
                    <w:t>冷轧钢板</w:t>
                  </w:r>
                  <w:r>
                    <w:rPr>
                      <w:rFonts w:hint="eastAsia" w:asciiTheme="minorEastAsia" w:hAnsiTheme="minorEastAsia" w:eastAsiaTheme="minorEastAsia" w:cstheme="minorEastAsia"/>
                      <w:b/>
                      <w:bCs/>
                      <w:color w:val="auto"/>
                      <w:sz w:val="24"/>
                      <w:szCs w:val="24"/>
                      <w:highlight w:val="none"/>
                    </w:rPr>
                    <w:t>经成型机一次轧制而成的开口异型材，立柱必须做到里外双面喷塑，开口处有两道向内折弯以增强立柱的强度；成型后立面尺寸为72mm（±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mm）*72mm（±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mm）*厚度≧1.2mm，两侧立柱正面中间一面有2股由外向内凸进，达到加强硬度作用。</w:t>
                  </w:r>
                </w:p>
                <w:p w14:paraId="5B9D8D8F">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床立柱示意图：</w:t>
                  </w:r>
                </w:p>
                <w:p w14:paraId="0B190483">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投标人在递交投标文件时应提供以上样品，提供的样品不符合招标内容要求的参数尺寸、结构、外观造型或提供样品不齐全的，按无效投标处理</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投标人提供的样品须为全新的产品，禁止使用废旧产品及3D打印、NC加工产品</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。产品中有尺寸要求但未明确尺寸偏离值的，均要求其尺寸的偏离值不超过</w:t>
                  </w:r>
                  <w:r>
                    <w:rPr>
                      <w:rFonts w:hint="eastAsia" w:asciiTheme="minorEastAsia" w:hAnsiTheme="minorEastAsia" w:eastAsiaTheme="minorEastAsia" w:cstheme="minorEastAsia"/>
                      <w:b/>
                      <w:bCs/>
                      <w:color w:val="auto"/>
                      <w:sz w:val="24"/>
                      <w:szCs w:val="24"/>
                      <w:highlight w:val="none"/>
                      <w:lang w:val="en-US" w:eastAsia="zh-CN"/>
                    </w:rPr>
                    <w:t>1</w:t>
                  </w:r>
                  <w:r>
                    <w:rPr>
                      <w:rFonts w:hint="eastAsia" w:asciiTheme="minorEastAsia" w:hAnsiTheme="minorEastAsia" w:eastAsiaTheme="minorEastAsia" w:cstheme="minorEastAsia"/>
                      <w:b/>
                      <w:bCs/>
                      <w:color w:val="auto"/>
                      <w:sz w:val="24"/>
                      <w:szCs w:val="24"/>
                      <w:highlight w:val="none"/>
                    </w:rPr>
                    <w:t>%（除有明确尺寸偏离值外）。</w:t>
                  </w:r>
                  <w:r>
                    <w:rPr>
                      <w:rFonts w:hint="eastAsia" w:asciiTheme="minorEastAsia" w:hAnsiTheme="minorEastAsia" w:eastAsiaTheme="minorEastAsia" w:cstheme="minorEastAsia"/>
                      <w:b/>
                      <w:bCs/>
                      <w:color w:val="auto"/>
                      <w:sz w:val="24"/>
                      <w:szCs w:val="24"/>
                      <w:highlight w:val="none"/>
                    </w:rPr>
                    <w:drawing>
                      <wp:anchor distT="0" distB="0" distL="114300" distR="114300" simplePos="0" relativeHeight="251720704" behindDoc="0" locked="0" layoutInCell="1" allowOverlap="1">
                        <wp:simplePos x="0" y="0"/>
                        <wp:positionH relativeFrom="column">
                          <wp:posOffset>107315</wp:posOffset>
                        </wp:positionH>
                        <wp:positionV relativeFrom="paragraph">
                          <wp:posOffset>15875</wp:posOffset>
                        </wp:positionV>
                        <wp:extent cx="1782445" cy="1800860"/>
                        <wp:effectExtent l="0" t="0" r="8255" b="2540"/>
                        <wp:wrapTopAndBottom/>
                        <wp:docPr id="112" name="图片 16" descr="D:\鸿盛（木杉）\weichat\WeChat Files\wxid_eybq4r1jecmi11\FileStorage\Temp\1680858751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6" descr="D:\鸿盛（木杉）\weichat\WeChat Files\wxid_eybq4r1jecmi11\FileStorage\Temp\1680858751969.png"/>
                                <pic:cNvPicPr>
                                  <a:picLocks noChangeAspect="1"/>
                                </pic:cNvPicPr>
                              </pic:nvPicPr>
                              <pic:blipFill>
                                <a:blip r:embed="rId14"/>
                                <a:stretch>
                                  <a:fillRect/>
                                </a:stretch>
                              </pic:blipFill>
                              <pic:spPr>
                                <a:xfrm>
                                  <a:off x="0" y="0"/>
                                  <a:ext cx="1782445" cy="1800860"/>
                                </a:xfrm>
                                <a:prstGeom prst="rect">
                                  <a:avLst/>
                                </a:prstGeom>
                                <a:noFill/>
                                <a:ln>
                                  <a:noFill/>
                                </a:ln>
                              </pic:spPr>
                            </pic:pic>
                          </a:graphicData>
                        </a:graphic>
                      </wp:anchor>
                    </w:drawing>
                  </w:r>
                </w:p>
              </w:tc>
              <w:tc>
                <w:tcPr>
                  <w:tcW w:w="1169" w:type="dxa"/>
                  <w:vAlign w:val="center"/>
                </w:tcPr>
                <w:p w14:paraId="75B11FE9">
                  <w:pPr>
                    <w:autoSpaceDE w:val="0"/>
                    <w:autoSpaceDN w:val="0"/>
                    <w:adjustRightInd w:val="0"/>
                    <w:spacing w:after="15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样品尺寸长：≧500mm</w:t>
                  </w:r>
                </w:p>
                <w:p w14:paraId="5DDACAE3">
                  <w:pPr>
                    <w:numPr>
                      <w:ilvl w:val="255"/>
                      <w:numId w:val="0"/>
                    </w:num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p>
              </w:tc>
              <w:tc>
                <w:tcPr>
                  <w:tcW w:w="645" w:type="dxa"/>
                  <w:vAlign w:val="center"/>
                </w:tcPr>
                <w:p w14:paraId="4F80FA4B">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喷塑和未喷塑各1根</w:t>
                  </w:r>
                </w:p>
              </w:tc>
            </w:tr>
            <w:tr w14:paraId="78375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378" w:type="dxa"/>
                  <w:vAlign w:val="center"/>
                </w:tcPr>
                <w:p w14:paraId="1C7B265C">
                  <w:pPr>
                    <w:pStyle w:val="11"/>
                    <w:spacing w:after="150" w:line="293" w:lineRule="atLeast"/>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color w:val="auto"/>
                      <w:highlight w:val="none"/>
                    </w:rPr>
                    <w:t>2</w:t>
                  </w:r>
                </w:p>
              </w:tc>
              <w:tc>
                <w:tcPr>
                  <w:tcW w:w="619" w:type="dxa"/>
                  <w:vAlign w:val="center"/>
                </w:tcPr>
                <w:p w14:paraId="4BA73E83">
                  <w:pPr>
                    <w:pStyle w:val="11"/>
                    <w:spacing w:after="150"/>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kern w:val="2"/>
                      <w:highlight w:val="none"/>
                    </w:rPr>
                    <w:t>长横梁</w:t>
                  </w:r>
                </w:p>
              </w:tc>
              <w:tc>
                <w:tcPr>
                  <w:tcW w:w="2888" w:type="dxa"/>
                  <w:vAlign w:val="center"/>
                </w:tcPr>
                <w:p w14:paraId="05533072">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长横梁采用型材80mm（±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mm）*38mm（±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mm）（含凸出舌头）*厚度≧1.3mm冷轧板经成型机一次轧成的开口异型管，前、后长横梁必须做到里外双面喷塑；横梁正面有一个宽度为26 mm（公差±2mm）的内凹加强筋，以增加横梁的强度。</w:t>
                  </w:r>
                </w:p>
                <w:p w14:paraId="7F7A941D">
                  <w:pP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drawing>
                      <wp:anchor distT="0" distB="0" distL="114300" distR="114300" simplePos="0" relativeHeight="251721728" behindDoc="0" locked="0" layoutInCell="1" allowOverlap="1">
                        <wp:simplePos x="0" y="0"/>
                        <wp:positionH relativeFrom="column">
                          <wp:posOffset>43815</wp:posOffset>
                        </wp:positionH>
                        <wp:positionV relativeFrom="paragraph">
                          <wp:posOffset>286385</wp:posOffset>
                        </wp:positionV>
                        <wp:extent cx="1721485" cy="1931035"/>
                        <wp:effectExtent l="0" t="0" r="5715" b="12065"/>
                        <wp:wrapTopAndBottom/>
                        <wp:docPr id="113" name="图片 2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3" descr="图片1"/>
                                <pic:cNvPicPr>
                                  <a:picLocks noChangeAspect="1"/>
                                </pic:cNvPicPr>
                              </pic:nvPicPr>
                              <pic:blipFill>
                                <a:blip r:embed="rId15"/>
                                <a:stretch>
                                  <a:fillRect/>
                                </a:stretch>
                              </pic:blipFill>
                              <pic:spPr>
                                <a:xfrm>
                                  <a:off x="0" y="0"/>
                                  <a:ext cx="1721485" cy="1931035"/>
                                </a:xfrm>
                                <a:prstGeom prst="rect">
                                  <a:avLst/>
                                </a:prstGeom>
                                <a:noFill/>
                                <a:ln>
                                  <a:noFill/>
                                </a:ln>
                              </pic:spPr>
                            </pic:pic>
                          </a:graphicData>
                        </a:graphic>
                      </wp:anchor>
                    </w:drawing>
                  </w:r>
                  <w:r>
                    <w:rPr>
                      <w:rFonts w:hint="eastAsia" w:asciiTheme="minorEastAsia" w:hAnsiTheme="minorEastAsia" w:eastAsiaTheme="minorEastAsia" w:cstheme="minorEastAsia"/>
                      <w:b/>
                      <w:bCs/>
                      <w:color w:val="auto"/>
                      <w:sz w:val="24"/>
                      <w:szCs w:val="24"/>
                      <w:highlight w:val="none"/>
                    </w:rPr>
                    <w:t>床横梁示意图：</w:t>
                  </w:r>
                </w:p>
                <w:p w14:paraId="059896E2">
                  <w:pPr>
                    <w:pStyle w:val="12"/>
                    <w:ind w:firstLine="482"/>
                    <w:rPr>
                      <w:rFonts w:hint="eastAsia" w:asciiTheme="minorEastAsia" w:hAnsiTheme="minorEastAsia" w:eastAsiaTheme="minorEastAsia" w:cstheme="minorEastAsia"/>
                      <w:b/>
                      <w:bCs/>
                      <w:color w:val="auto"/>
                      <w:sz w:val="24"/>
                      <w:szCs w:val="24"/>
                      <w:highlight w:val="none"/>
                    </w:rPr>
                  </w:pPr>
                </w:p>
                <w:p w14:paraId="2E7FB0AE">
                  <w:pPr>
                    <w:pStyle w:val="12"/>
                    <w:ind w:left="0" w:leftChars="0" w:firstLine="0" w:firstLineChars="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投标人在递交投标文件时应提供以上样品，提供的样品不符合招标内容要求的参数尺寸、结构、外观造型或提供样品不齐全的，按无效投标处理</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投标人提供的样品须为全新的产品，禁止使用废旧产品及3D打印、NC加工产品</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。产品中有尺寸要求但未明确尺寸偏离值的，均要求其尺寸的偏离值不超过</w:t>
                  </w:r>
                  <w:r>
                    <w:rPr>
                      <w:rFonts w:hint="eastAsia" w:asciiTheme="minorEastAsia" w:hAnsiTheme="minorEastAsia" w:eastAsiaTheme="minorEastAsia" w:cstheme="minorEastAsia"/>
                      <w:b/>
                      <w:bCs/>
                      <w:color w:val="auto"/>
                      <w:sz w:val="24"/>
                      <w:szCs w:val="24"/>
                      <w:highlight w:val="none"/>
                      <w:lang w:val="en-US" w:eastAsia="zh-CN"/>
                    </w:rPr>
                    <w:t>1</w:t>
                  </w:r>
                  <w:r>
                    <w:rPr>
                      <w:rFonts w:hint="eastAsia" w:asciiTheme="minorEastAsia" w:hAnsiTheme="minorEastAsia" w:eastAsiaTheme="minorEastAsia" w:cstheme="minorEastAsia"/>
                      <w:b/>
                      <w:bCs/>
                      <w:color w:val="auto"/>
                      <w:sz w:val="24"/>
                      <w:szCs w:val="24"/>
                      <w:highlight w:val="none"/>
                    </w:rPr>
                    <w:t>%（除有明确尺寸偏离值外）。</w:t>
                  </w:r>
                </w:p>
              </w:tc>
              <w:tc>
                <w:tcPr>
                  <w:tcW w:w="1169" w:type="dxa"/>
                  <w:vAlign w:val="center"/>
                </w:tcPr>
                <w:p w14:paraId="0CC7E97C">
                  <w:pPr>
                    <w:autoSpaceDE w:val="0"/>
                    <w:autoSpaceDN w:val="0"/>
                    <w:adjustRightInd w:val="0"/>
                    <w:spacing w:after="15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样品尺寸长：≧500mm</w:t>
                  </w:r>
                </w:p>
                <w:p w14:paraId="6BFC8564">
                  <w:pPr>
                    <w:jc w:val="center"/>
                    <w:rPr>
                      <w:rFonts w:hint="eastAsia" w:asciiTheme="minorEastAsia" w:hAnsiTheme="minorEastAsia" w:eastAsiaTheme="minorEastAsia" w:cstheme="minorEastAsia"/>
                      <w:b/>
                      <w:bCs/>
                      <w:color w:val="auto"/>
                      <w:sz w:val="24"/>
                      <w:szCs w:val="24"/>
                      <w:highlight w:val="none"/>
                    </w:rPr>
                  </w:pPr>
                </w:p>
              </w:tc>
              <w:tc>
                <w:tcPr>
                  <w:tcW w:w="645" w:type="dxa"/>
                  <w:vAlign w:val="center"/>
                </w:tcPr>
                <w:p w14:paraId="49F507BB">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喷塑和未喷塑各1根</w:t>
                  </w:r>
                </w:p>
              </w:tc>
            </w:tr>
          </w:tbl>
          <w:p w14:paraId="3F67159B">
            <w:pPr>
              <w:widowControl/>
              <w:spacing w:line="360" w:lineRule="auto"/>
              <w:ind w:firstLine="470"/>
              <w:jc w:val="left"/>
              <w:rPr>
                <w:rFonts w:hint="eastAsia" w:ascii="宋体" w:hAnsi="宋体" w:cs="宋体"/>
                <w:color w:val="auto"/>
                <w:sz w:val="24"/>
                <w:szCs w:val="24"/>
                <w:highlight w:val="none"/>
              </w:rPr>
            </w:pPr>
            <w:r>
              <w:rPr>
                <w:rFonts w:hint="eastAsia" w:asciiTheme="minorEastAsia" w:hAnsiTheme="minorEastAsia" w:eastAsiaTheme="minorEastAsia" w:cstheme="minorEastAsia"/>
                <w:b/>
                <w:bCs/>
                <w:color w:val="auto"/>
                <w:sz w:val="24"/>
                <w:szCs w:val="24"/>
                <w:highlight w:val="none"/>
              </w:rPr>
              <w:t>★</w:t>
            </w:r>
            <w:r>
              <w:rPr>
                <w:rFonts w:hint="eastAsia" w:ascii="宋体" w:hAnsi="宋体"/>
                <w:b/>
                <w:bCs/>
                <w:color w:val="auto"/>
                <w:sz w:val="24"/>
                <w:szCs w:val="24"/>
                <w:highlight w:val="none"/>
              </w:rPr>
              <w:t>8.3.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w:t>
            </w:r>
            <w:r>
              <w:rPr>
                <w:rFonts w:hint="eastAsia" w:ascii="宋体" w:hAnsi="宋体"/>
                <w:b/>
                <w:color w:val="auto"/>
                <w:sz w:val="24"/>
                <w:szCs w:val="24"/>
                <w:highlight w:val="none"/>
              </w:rPr>
              <w:t>送至</w:t>
            </w:r>
            <w:r>
              <w:rPr>
                <w:rFonts w:hint="eastAsia" w:ascii="宋体" w:hAnsi="宋体"/>
                <w:b/>
                <w:color w:val="auto"/>
                <w:sz w:val="24"/>
                <w:szCs w:val="24"/>
                <w:highlight w:val="none"/>
                <w:u w:val="single"/>
              </w:rPr>
              <w:t>厦门市湖里区云顶北路842号厦门市政务服务中心负一楼样品室</w:t>
            </w:r>
            <w:r>
              <w:rPr>
                <w:rFonts w:hint="eastAsia" w:ascii="宋体" w:hAnsi="宋体"/>
                <w:b/>
                <w:color w:val="auto"/>
                <w:sz w:val="24"/>
                <w:szCs w:val="24"/>
                <w:highlight w:val="none"/>
              </w:rPr>
              <w:t>。</w:t>
            </w:r>
          </w:p>
        </w:tc>
      </w:tr>
      <w:tr w14:paraId="7E70D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2797DFA8">
            <w:pPr>
              <w:spacing w:line="360" w:lineRule="auto"/>
              <w:jc w:val="center"/>
              <w:rPr>
                <w:rFonts w:hint="eastAsia" w:ascii="宋体" w:hAnsi="宋体" w:cs="宋体"/>
                <w:color w:val="auto"/>
                <w:sz w:val="24"/>
                <w:szCs w:val="24"/>
                <w:highlight w:val="none"/>
              </w:rPr>
            </w:pPr>
          </w:p>
        </w:tc>
        <w:tc>
          <w:tcPr>
            <w:tcW w:w="696" w:type="dxa"/>
            <w:tcBorders>
              <w:bottom w:val="single" w:color="auto" w:sz="4" w:space="0"/>
            </w:tcBorders>
            <w:vAlign w:val="center"/>
          </w:tcPr>
          <w:p w14:paraId="387BE7E3">
            <w:pPr>
              <w:spacing w:line="360" w:lineRule="auto"/>
              <w:jc w:val="center"/>
              <w:rPr>
                <w:rFonts w:hint="eastAsia" w:ascii="宋体" w:hAnsi="宋体" w:cs="宋体"/>
                <w:color w:val="auto"/>
                <w:sz w:val="24"/>
                <w:szCs w:val="24"/>
                <w:highlight w:val="none"/>
              </w:rPr>
            </w:pPr>
          </w:p>
        </w:tc>
        <w:tc>
          <w:tcPr>
            <w:tcW w:w="1422" w:type="dxa"/>
            <w:tcBorders>
              <w:bottom w:val="single" w:color="auto" w:sz="4" w:space="0"/>
            </w:tcBorders>
            <w:vAlign w:val="center"/>
          </w:tcPr>
          <w:p w14:paraId="0D9BAA4E">
            <w:pPr>
              <w:spacing w:line="360" w:lineRule="auto"/>
              <w:jc w:val="center"/>
              <w:rPr>
                <w:rFonts w:hint="eastAsia" w:ascii="宋体" w:hAnsi="宋体" w:cs="宋体"/>
                <w:color w:val="auto"/>
                <w:sz w:val="24"/>
                <w:szCs w:val="24"/>
                <w:highlight w:val="none"/>
              </w:rPr>
            </w:pPr>
          </w:p>
        </w:tc>
        <w:tc>
          <w:tcPr>
            <w:tcW w:w="5925" w:type="dxa"/>
            <w:tcBorders>
              <w:bottom w:val="single" w:color="auto" w:sz="4" w:space="0"/>
            </w:tcBorders>
            <w:vAlign w:val="center"/>
          </w:tcPr>
          <w:p w14:paraId="6660D53A">
            <w:pPr>
              <w:widowControl/>
              <w:spacing w:line="360" w:lineRule="auto"/>
              <w:ind w:firstLine="471"/>
              <w:jc w:val="left"/>
              <w:rPr>
                <w:rFonts w:hint="eastAsia" w:ascii="宋体" w:hAnsi="宋体" w:cs="宋体"/>
                <w:color w:val="auto"/>
                <w:sz w:val="24"/>
                <w:szCs w:val="24"/>
                <w:highlight w:val="none"/>
              </w:rPr>
            </w:pPr>
            <w:r>
              <w:rPr>
                <w:rFonts w:hint="eastAsia" w:ascii="宋体" w:hAnsi="宋体"/>
                <w:b/>
                <w:bCs/>
                <w:color w:val="auto"/>
                <w:sz w:val="24"/>
                <w:szCs w:val="24"/>
                <w:highlight w:val="none"/>
              </w:rPr>
              <w:t>★10.中标后</w:t>
            </w:r>
            <w:r>
              <w:rPr>
                <w:rFonts w:hint="eastAsia" w:ascii="宋体" w:hAnsi="宋体"/>
                <w:b/>
                <w:bCs/>
                <w:color w:val="auto"/>
                <w:sz w:val="24"/>
                <w:szCs w:val="24"/>
                <w:highlight w:val="none"/>
                <w:lang w:val="en-US" w:eastAsia="zh-CN"/>
              </w:rPr>
              <w:t>合同签订前</w:t>
            </w:r>
            <w:r>
              <w:rPr>
                <w:rFonts w:hint="eastAsia" w:ascii="宋体" w:hAnsi="宋体"/>
                <w:b/>
                <w:bCs/>
                <w:color w:val="auto"/>
                <w:sz w:val="24"/>
                <w:szCs w:val="24"/>
                <w:highlight w:val="none"/>
              </w:rPr>
              <w:t>，中标供应商提供投标文件响应的检测报告原件给使用单位核查。中标供应商应接到通知后在3个工作日内提供检测报告原件。如中标供应商无法提供检测报告原件，或者发现中标供应商提供的检测报告原件与</w:t>
            </w:r>
            <w:r>
              <w:rPr>
                <w:rFonts w:hint="eastAsia" w:ascii="宋体" w:hAnsi="宋体"/>
                <w:b/>
                <w:bCs/>
                <w:color w:val="auto"/>
                <w:sz w:val="24"/>
                <w:szCs w:val="24"/>
                <w:highlight w:val="none"/>
                <w:lang w:eastAsia="zh-CN"/>
              </w:rPr>
              <w:t>复印件（含扫描件）</w:t>
            </w:r>
            <w:r>
              <w:rPr>
                <w:rFonts w:hint="eastAsia" w:ascii="宋体" w:hAnsi="宋体"/>
                <w:b/>
                <w:bCs/>
                <w:color w:val="auto"/>
                <w:sz w:val="24"/>
                <w:szCs w:val="24"/>
                <w:highlight w:val="none"/>
              </w:rPr>
              <w:t>不一致，或者经查询发现检测报告存在造假情形的，取消中标供应商资格并列入不良行为记录。供应商需提供书面承诺函（格式自拟）。</w:t>
            </w:r>
          </w:p>
        </w:tc>
      </w:tr>
      <w:tr w14:paraId="60235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03FFBCF7">
            <w:pPr>
              <w:spacing w:line="360" w:lineRule="auto"/>
              <w:jc w:val="center"/>
              <w:rPr>
                <w:rFonts w:hint="eastAsia" w:ascii="宋体" w:hAnsi="宋体" w:cs="宋体"/>
                <w:color w:val="auto"/>
                <w:sz w:val="24"/>
                <w:szCs w:val="24"/>
                <w:highlight w:val="none"/>
              </w:rPr>
            </w:pPr>
          </w:p>
        </w:tc>
        <w:tc>
          <w:tcPr>
            <w:tcW w:w="696" w:type="dxa"/>
            <w:tcBorders>
              <w:bottom w:val="single" w:color="auto" w:sz="4" w:space="0"/>
            </w:tcBorders>
            <w:vAlign w:val="center"/>
          </w:tcPr>
          <w:p w14:paraId="060B7375">
            <w:pPr>
              <w:spacing w:line="360" w:lineRule="auto"/>
              <w:jc w:val="center"/>
              <w:rPr>
                <w:rFonts w:hint="eastAsia" w:ascii="宋体" w:hAnsi="宋体" w:cs="宋体"/>
                <w:color w:val="auto"/>
                <w:sz w:val="24"/>
                <w:szCs w:val="24"/>
                <w:highlight w:val="none"/>
              </w:rPr>
            </w:pPr>
          </w:p>
        </w:tc>
        <w:tc>
          <w:tcPr>
            <w:tcW w:w="1422" w:type="dxa"/>
            <w:tcBorders>
              <w:bottom w:val="single" w:color="auto" w:sz="4" w:space="0"/>
            </w:tcBorders>
            <w:vAlign w:val="center"/>
          </w:tcPr>
          <w:p w14:paraId="70D3C957">
            <w:pPr>
              <w:spacing w:line="360" w:lineRule="auto"/>
              <w:jc w:val="center"/>
              <w:rPr>
                <w:rFonts w:hint="eastAsia" w:ascii="宋体" w:hAnsi="宋体" w:cs="宋体"/>
                <w:color w:val="auto"/>
                <w:sz w:val="24"/>
                <w:szCs w:val="24"/>
                <w:highlight w:val="none"/>
              </w:rPr>
            </w:pPr>
          </w:p>
        </w:tc>
        <w:tc>
          <w:tcPr>
            <w:tcW w:w="5925" w:type="dxa"/>
            <w:tcBorders>
              <w:bottom w:val="single" w:color="auto" w:sz="4" w:space="0"/>
            </w:tcBorders>
            <w:vAlign w:val="center"/>
          </w:tcPr>
          <w:p w14:paraId="21998DE7">
            <w:pPr>
              <w:spacing w:line="360" w:lineRule="auto"/>
              <w:ind w:firstLine="482" w:firstLineChars="200"/>
              <w:rPr>
                <w:rFonts w:hint="eastAsia" w:ascii="宋体" w:hAnsi="宋体" w:cs="宋体"/>
                <w:color w:val="auto"/>
                <w:sz w:val="24"/>
                <w:szCs w:val="24"/>
                <w:highlight w:val="none"/>
              </w:rPr>
            </w:pPr>
            <w:r>
              <w:rPr>
                <w:rFonts w:hint="eastAsia" w:ascii="宋体" w:hAnsi="宋体" w:cs="宋体"/>
                <w:b/>
                <w:color w:val="auto"/>
                <w:sz w:val="24"/>
                <w:szCs w:val="24"/>
                <w:highlight w:val="none"/>
              </w:rPr>
              <w:t>★</w:t>
            </w:r>
            <w:r>
              <w:rPr>
                <w:rFonts w:hint="eastAsia" w:ascii="宋体" w:hAnsi="宋体"/>
                <w:b/>
                <w:color w:val="auto"/>
                <w:sz w:val="24"/>
                <w:szCs w:val="24"/>
                <w:highlight w:val="none"/>
              </w:rPr>
              <w:t>5.投标人必须在投标文件中提供书面承诺函：中标后生产前，向使用单位确定所供货物的相关事项，经使用单位书面确认是否增减后方可投入生产。否则，由此产生的一切后果由中标供应商负责。（提供书面承诺函格式自拟）</w:t>
            </w:r>
          </w:p>
        </w:tc>
      </w:tr>
      <w:tr w14:paraId="0E054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14:paraId="3F943D8E">
            <w:pPr>
              <w:spacing w:line="360" w:lineRule="auto"/>
              <w:jc w:val="center"/>
              <w:rPr>
                <w:rFonts w:hint="eastAsia" w:ascii="宋体" w:hAnsi="宋体" w:cs="宋体"/>
                <w:color w:val="auto"/>
                <w:sz w:val="24"/>
                <w:szCs w:val="24"/>
                <w:highlight w:val="none"/>
              </w:rPr>
            </w:pPr>
          </w:p>
        </w:tc>
        <w:tc>
          <w:tcPr>
            <w:tcW w:w="696" w:type="dxa"/>
            <w:tcBorders>
              <w:bottom w:val="single" w:color="auto" w:sz="4" w:space="0"/>
            </w:tcBorders>
            <w:vAlign w:val="center"/>
          </w:tcPr>
          <w:p w14:paraId="433FCA6C">
            <w:pPr>
              <w:spacing w:line="360" w:lineRule="auto"/>
              <w:jc w:val="center"/>
              <w:rPr>
                <w:rFonts w:hint="eastAsia" w:ascii="宋体" w:hAnsi="宋体" w:cs="宋体"/>
                <w:color w:val="auto"/>
                <w:sz w:val="24"/>
                <w:szCs w:val="24"/>
                <w:highlight w:val="none"/>
              </w:rPr>
            </w:pPr>
          </w:p>
        </w:tc>
        <w:tc>
          <w:tcPr>
            <w:tcW w:w="1422" w:type="dxa"/>
            <w:tcBorders>
              <w:bottom w:val="single" w:color="auto" w:sz="4" w:space="0"/>
            </w:tcBorders>
            <w:vAlign w:val="center"/>
          </w:tcPr>
          <w:p w14:paraId="52BB23FE">
            <w:pPr>
              <w:spacing w:line="360" w:lineRule="auto"/>
              <w:jc w:val="center"/>
              <w:rPr>
                <w:rFonts w:hint="eastAsia" w:ascii="宋体" w:hAnsi="宋体" w:cs="宋体"/>
                <w:color w:val="auto"/>
                <w:sz w:val="24"/>
                <w:szCs w:val="24"/>
                <w:highlight w:val="none"/>
              </w:rPr>
            </w:pPr>
          </w:p>
        </w:tc>
        <w:tc>
          <w:tcPr>
            <w:tcW w:w="5925" w:type="dxa"/>
            <w:tcBorders>
              <w:bottom w:val="single" w:color="auto" w:sz="4" w:space="0"/>
            </w:tcBorders>
            <w:vAlign w:val="center"/>
          </w:tcPr>
          <w:p w14:paraId="6355462D">
            <w:pPr>
              <w:ind w:firstLine="482" w:firstLineChars="200"/>
              <w:rPr>
                <w:rFonts w:hint="eastAsia" w:ascii="宋体" w:hAnsi="宋体" w:cs="宋体"/>
                <w:color w:val="auto"/>
                <w:sz w:val="24"/>
                <w:szCs w:val="24"/>
                <w:highlight w:val="none"/>
              </w:rPr>
            </w:pPr>
            <w:r>
              <w:rPr>
                <w:rFonts w:hint="eastAsia" w:ascii="宋体" w:hAnsi="宋体" w:cs="宋体"/>
                <w:b/>
                <w:color w:val="auto"/>
                <w:sz w:val="24"/>
                <w:szCs w:val="24"/>
                <w:highlight w:val="none"/>
                <w:lang w:bidi="ar"/>
              </w:rPr>
              <w:t>★7.投标人必须在投标文件中提供书面承诺函：一旦中标，在保证按招标文件中要求提供的产品数量进行供货及安装、调试外，还应在产品安装、调试后根据使用单位要求委托有资质的检测单位对家具进行检测（检测要求：检测数量不少于公寓楼房间数的3%，检测标准参照GB 50325-2020《民用建筑工程室内环境污染控制标准》，检测单位由使用单位确定，检测费用由中标供应商支付，供应商另行与检测单位订立服务合同，与本合同各自独立履行、互不影响）。经检测，如家具环保等指标达不到国家以及招标文件中的要求，中标供应商应在15个日历日内更换不合格的产品并经检测合格后交付使用单位；如未在规定时限内完成整改并交付检测合格的产品，中标供应商应按中标价的30%金额赔偿给使用单位。(提供书面承诺函格式自拟）</w:t>
            </w:r>
          </w:p>
        </w:tc>
      </w:tr>
      <w:tr w14:paraId="0D3F8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Pr>
          <w:p w14:paraId="00972755">
            <w:pPr>
              <w:spacing w:line="360" w:lineRule="auto"/>
              <w:jc w:val="center"/>
              <w:rPr>
                <w:rFonts w:hint="eastAsia" w:ascii="宋体" w:hAnsi="宋体" w:cs="宋体"/>
                <w:color w:val="auto"/>
                <w:sz w:val="24"/>
                <w:szCs w:val="24"/>
                <w:highlight w:val="none"/>
              </w:rPr>
            </w:pPr>
          </w:p>
        </w:tc>
        <w:tc>
          <w:tcPr>
            <w:tcW w:w="696" w:type="dxa"/>
          </w:tcPr>
          <w:p w14:paraId="47FD17A1">
            <w:pPr>
              <w:spacing w:line="360" w:lineRule="auto"/>
              <w:jc w:val="center"/>
              <w:rPr>
                <w:rFonts w:hint="eastAsia" w:ascii="宋体" w:hAnsi="宋体" w:cs="宋体"/>
                <w:color w:val="auto"/>
                <w:sz w:val="24"/>
                <w:szCs w:val="24"/>
                <w:highlight w:val="none"/>
              </w:rPr>
            </w:pPr>
          </w:p>
        </w:tc>
        <w:tc>
          <w:tcPr>
            <w:tcW w:w="1422" w:type="dxa"/>
          </w:tcPr>
          <w:p w14:paraId="79E7C59C">
            <w:pPr>
              <w:spacing w:line="360" w:lineRule="auto"/>
              <w:jc w:val="center"/>
              <w:rPr>
                <w:rFonts w:hint="eastAsia" w:ascii="宋体" w:hAnsi="宋体" w:cs="宋体"/>
                <w:color w:val="auto"/>
                <w:sz w:val="24"/>
                <w:szCs w:val="24"/>
                <w:highlight w:val="none"/>
              </w:rPr>
            </w:pPr>
          </w:p>
        </w:tc>
        <w:tc>
          <w:tcPr>
            <w:tcW w:w="5925" w:type="dxa"/>
          </w:tcPr>
          <w:p w14:paraId="12E3DE98">
            <w:pPr>
              <w:spacing w:line="360" w:lineRule="auto"/>
              <w:ind w:firstLine="482" w:firstLineChars="200"/>
              <w:jc w:val="left"/>
              <w:rPr>
                <w:rFonts w:hint="eastAsia" w:ascii="宋体" w:hAnsi="宋体" w:cs="宋体"/>
                <w:bCs/>
                <w:color w:val="auto"/>
                <w:sz w:val="24"/>
                <w:szCs w:val="24"/>
                <w:highlight w:val="none"/>
              </w:rPr>
            </w:pPr>
            <w:r>
              <w:rPr>
                <w:rFonts w:hint="eastAsia" w:ascii="宋体" w:hAnsi="宋体" w:cs="宋体"/>
                <w:b/>
                <w:color w:val="auto"/>
                <w:sz w:val="24"/>
                <w:szCs w:val="24"/>
                <w:highlight w:val="none"/>
              </w:rPr>
              <w:t>★</w:t>
            </w:r>
            <w:r>
              <w:rPr>
                <w:rFonts w:hint="eastAsia" w:ascii="宋体" w:hAnsi="宋体"/>
                <w:b/>
                <w:color w:val="auto"/>
                <w:sz w:val="24"/>
                <w:szCs w:val="24"/>
                <w:highlight w:val="none"/>
              </w:rPr>
              <w:t>9.投标人必须在投标文件中提供书面承诺函：一旦中标，在生产本次采购家具的过程中，邀请使用单位代表到工厂对产品从进料、开胚、上漆、成型等一系列生产程序进行检查、监督；使用单位根据合同进度可以采用书面函件形式要求投标人对生产情况合理改进，投标人应予书面答复，并制定完整的整改措施。（提供书面承诺函格式自拟）</w:t>
            </w:r>
          </w:p>
        </w:tc>
      </w:tr>
      <w:tr w14:paraId="36E52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Pr>
          <w:p w14:paraId="370BCC65">
            <w:pPr>
              <w:spacing w:line="360" w:lineRule="auto"/>
              <w:jc w:val="center"/>
              <w:rPr>
                <w:rFonts w:hint="eastAsia" w:ascii="宋体" w:hAnsi="宋体" w:cs="宋体"/>
                <w:color w:val="auto"/>
                <w:sz w:val="24"/>
                <w:szCs w:val="24"/>
                <w:highlight w:val="none"/>
              </w:rPr>
            </w:pPr>
          </w:p>
        </w:tc>
        <w:tc>
          <w:tcPr>
            <w:tcW w:w="696" w:type="dxa"/>
          </w:tcPr>
          <w:p w14:paraId="5A882244">
            <w:pPr>
              <w:spacing w:line="360" w:lineRule="auto"/>
              <w:jc w:val="center"/>
              <w:rPr>
                <w:rFonts w:hint="eastAsia" w:ascii="宋体" w:hAnsi="宋体" w:cs="宋体"/>
                <w:color w:val="auto"/>
                <w:sz w:val="24"/>
                <w:szCs w:val="24"/>
                <w:highlight w:val="none"/>
              </w:rPr>
            </w:pPr>
          </w:p>
        </w:tc>
        <w:tc>
          <w:tcPr>
            <w:tcW w:w="1422" w:type="dxa"/>
          </w:tcPr>
          <w:p w14:paraId="57D16B6E">
            <w:pPr>
              <w:spacing w:line="360" w:lineRule="auto"/>
              <w:jc w:val="center"/>
              <w:rPr>
                <w:rFonts w:hint="eastAsia" w:ascii="宋体" w:hAnsi="宋体" w:cs="宋体"/>
                <w:color w:val="auto"/>
                <w:sz w:val="24"/>
                <w:szCs w:val="24"/>
                <w:highlight w:val="none"/>
              </w:rPr>
            </w:pPr>
          </w:p>
        </w:tc>
        <w:tc>
          <w:tcPr>
            <w:tcW w:w="5925" w:type="dxa"/>
          </w:tcPr>
          <w:p w14:paraId="519C5BE1">
            <w:pPr>
              <w:spacing w:line="360" w:lineRule="auto"/>
              <w:rPr>
                <w:rFonts w:hint="eastAsia" w:ascii="宋体" w:hAnsi="宋体" w:cs="宋体"/>
                <w:bCs/>
                <w:color w:val="auto"/>
                <w:sz w:val="24"/>
                <w:szCs w:val="24"/>
                <w:highlight w:val="none"/>
              </w:rPr>
            </w:pPr>
            <w:r>
              <w:rPr>
                <w:rFonts w:hint="eastAsia" w:ascii="宋体" w:hAnsi="宋体" w:cs="宋体"/>
                <w:b/>
                <w:color w:val="auto"/>
                <w:sz w:val="24"/>
                <w:szCs w:val="24"/>
                <w:highlight w:val="none"/>
              </w:rPr>
              <w:t>★</w:t>
            </w:r>
            <w:r>
              <w:rPr>
                <w:rFonts w:hint="eastAsia" w:ascii="宋体" w:hAnsi="宋体"/>
                <w:b/>
                <w:color w:val="auto"/>
                <w:sz w:val="24"/>
                <w:szCs w:val="24"/>
                <w:highlight w:val="none"/>
              </w:rPr>
              <w:t>1.投标人应在投标文件中提供的质量保证期及售后服务承诺，并加盖单位公章。承诺至少应包含以下内容①所有货物质量保证期至少为3年，自最终验收合格之日起算；②所有货物如无特别指明售后服务要求,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提供书面承诺函，格式自拟】</w:t>
            </w:r>
          </w:p>
        </w:tc>
      </w:tr>
      <w:tr w14:paraId="382E5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Pr>
          <w:p w14:paraId="4CAE5B81">
            <w:pPr>
              <w:spacing w:line="360" w:lineRule="auto"/>
              <w:jc w:val="center"/>
              <w:rPr>
                <w:rFonts w:hint="eastAsia" w:ascii="宋体" w:hAnsi="宋体" w:cs="宋体"/>
                <w:color w:val="auto"/>
                <w:sz w:val="24"/>
                <w:szCs w:val="24"/>
                <w:highlight w:val="none"/>
              </w:rPr>
            </w:pPr>
          </w:p>
        </w:tc>
        <w:tc>
          <w:tcPr>
            <w:tcW w:w="696" w:type="dxa"/>
          </w:tcPr>
          <w:p w14:paraId="3E8E7807">
            <w:pPr>
              <w:spacing w:line="360" w:lineRule="auto"/>
              <w:jc w:val="center"/>
              <w:rPr>
                <w:rFonts w:hint="eastAsia" w:ascii="宋体" w:hAnsi="宋体" w:cs="宋体"/>
                <w:color w:val="auto"/>
                <w:sz w:val="24"/>
                <w:szCs w:val="24"/>
                <w:highlight w:val="none"/>
              </w:rPr>
            </w:pPr>
          </w:p>
        </w:tc>
        <w:tc>
          <w:tcPr>
            <w:tcW w:w="1422" w:type="dxa"/>
          </w:tcPr>
          <w:p w14:paraId="29FB665B">
            <w:pPr>
              <w:spacing w:line="360" w:lineRule="auto"/>
              <w:jc w:val="center"/>
              <w:rPr>
                <w:rFonts w:hint="eastAsia" w:ascii="宋体" w:hAnsi="宋体" w:cs="宋体"/>
                <w:color w:val="auto"/>
                <w:sz w:val="24"/>
                <w:szCs w:val="24"/>
                <w:highlight w:val="none"/>
              </w:rPr>
            </w:pPr>
          </w:p>
        </w:tc>
        <w:tc>
          <w:tcPr>
            <w:tcW w:w="5925" w:type="dxa"/>
          </w:tcPr>
          <w:p w14:paraId="41DD8573">
            <w:pPr>
              <w:spacing w:line="360" w:lineRule="auto"/>
              <w:rPr>
                <w:rFonts w:hint="eastAsia" w:ascii="宋体" w:hAnsi="宋体" w:cs="宋体"/>
                <w:bCs/>
                <w:color w:val="auto"/>
                <w:sz w:val="24"/>
                <w:szCs w:val="24"/>
                <w:highlight w:val="none"/>
              </w:rPr>
            </w:pPr>
            <w:r>
              <w:rPr>
                <w:rFonts w:hint="eastAsia" w:ascii="宋体" w:hAnsi="宋体"/>
                <w:b/>
                <w:bCs/>
                <w:color w:val="auto"/>
                <w:sz w:val="24"/>
                <w:highlight w:val="none"/>
              </w:rPr>
              <w:t>★2.投标人书面承诺：无挂靠、借用资质或提供虚假材料参加本项目，没有与其他供应商或采购代理机构相互串通，一旦成交，不得转包或违规分包。一经发现，采购人有权取消中标供应商的成交资格，或认定其成交无效，或提前解除合同,并追究中标供应商的相关责任（包括但不限于不予退还保证金、履约保证金、支付预算总额的千分之五以上千分之十以下作为违约金或赔偿采购人因此遭受的全部损失、禁止其1-3年内参加采购人组织的非政府采购项目等）。投标人须针对上述要求提供相应的书面承诺</w:t>
            </w:r>
            <w:r>
              <w:rPr>
                <w:rFonts w:hint="eastAsia" w:ascii="宋体" w:hAnsi="宋体"/>
                <w:b/>
                <w:color w:val="auto"/>
                <w:sz w:val="24"/>
                <w:szCs w:val="24"/>
                <w:highlight w:val="none"/>
              </w:rPr>
              <w:t>函，格式自拟。</w:t>
            </w:r>
          </w:p>
        </w:tc>
      </w:tr>
      <w:tr w14:paraId="288DA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Pr>
          <w:p w14:paraId="38A66FC2">
            <w:pPr>
              <w:spacing w:line="360" w:lineRule="auto"/>
              <w:jc w:val="center"/>
              <w:rPr>
                <w:rFonts w:hint="eastAsia" w:ascii="宋体" w:hAnsi="宋体" w:cs="宋体"/>
                <w:color w:val="auto"/>
                <w:sz w:val="24"/>
                <w:szCs w:val="24"/>
                <w:highlight w:val="none"/>
              </w:rPr>
            </w:pPr>
          </w:p>
        </w:tc>
        <w:tc>
          <w:tcPr>
            <w:tcW w:w="696" w:type="dxa"/>
          </w:tcPr>
          <w:p w14:paraId="12787015">
            <w:pPr>
              <w:spacing w:line="360" w:lineRule="auto"/>
              <w:jc w:val="center"/>
              <w:rPr>
                <w:rFonts w:hint="eastAsia" w:ascii="宋体" w:hAnsi="宋体" w:cs="宋体"/>
                <w:color w:val="auto"/>
                <w:sz w:val="24"/>
                <w:szCs w:val="24"/>
                <w:highlight w:val="none"/>
              </w:rPr>
            </w:pPr>
          </w:p>
        </w:tc>
        <w:tc>
          <w:tcPr>
            <w:tcW w:w="1422" w:type="dxa"/>
          </w:tcPr>
          <w:p w14:paraId="4BB5E6CF">
            <w:pPr>
              <w:spacing w:line="360" w:lineRule="auto"/>
              <w:jc w:val="center"/>
              <w:rPr>
                <w:rFonts w:hint="eastAsia" w:ascii="宋体" w:hAnsi="宋体" w:cs="宋体"/>
                <w:color w:val="auto"/>
                <w:sz w:val="24"/>
                <w:szCs w:val="24"/>
                <w:highlight w:val="none"/>
              </w:rPr>
            </w:pPr>
          </w:p>
        </w:tc>
        <w:tc>
          <w:tcPr>
            <w:tcW w:w="5925" w:type="dxa"/>
          </w:tcPr>
          <w:p w14:paraId="6A938BF8">
            <w:pPr>
              <w:spacing w:line="360" w:lineRule="auto"/>
              <w:rPr>
                <w:rFonts w:hint="eastAsia" w:ascii="宋体" w:hAnsi="宋体" w:cs="宋体"/>
                <w:bCs/>
                <w:color w:val="auto"/>
                <w:sz w:val="24"/>
                <w:szCs w:val="24"/>
                <w:highlight w:val="none"/>
              </w:rPr>
            </w:pPr>
            <w:r>
              <w:rPr>
                <w:rFonts w:hint="eastAsia" w:ascii="宋体" w:hAnsi="宋体" w:cs="宋体"/>
                <w:b/>
                <w:color w:val="auto"/>
                <w:sz w:val="24"/>
                <w:szCs w:val="24"/>
                <w:highlight w:val="none"/>
              </w:rPr>
              <w:t>★</w:t>
            </w:r>
            <w:r>
              <w:rPr>
                <w:rFonts w:hint="eastAsia" w:ascii="宋体" w:hAnsi="宋体"/>
                <w:b/>
                <w:color w:val="auto"/>
                <w:sz w:val="24"/>
                <w:szCs w:val="24"/>
                <w:highlight w:val="none"/>
              </w:rPr>
              <w:t>1.投标人须以人民币报价且总报价应含货物费、运至采购单位指定地点的运输费、保险费和伴随服务费（包括产品检验检测）、安装调试（包括安装所需的辅材、配件等）费用、税收及售后服务等一切费用，报价方式为指定目的地价。采购单位不接受有选择的报价。</w:t>
            </w:r>
          </w:p>
        </w:tc>
      </w:tr>
      <w:tr w14:paraId="6A7F0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Pr>
          <w:p w14:paraId="634123C3">
            <w:pPr>
              <w:spacing w:line="360" w:lineRule="auto"/>
              <w:jc w:val="center"/>
              <w:rPr>
                <w:rFonts w:hint="eastAsia" w:ascii="宋体" w:hAnsi="宋体" w:cs="宋体"/>
                <w:color w:val="auto"/>
                <w:sz w:val="24"/>
                <w:szCs w:val="24"/>
                <w:highlight w:val="none"/>
              </w:rPr>
            </w:pPr>
          </w:p>
        </w:tc>
        <w:tc>
          <w:tcPr>
            <w:tcW w:w="696" w:type="dxa"/>
          </w:tcPr>
          <w:p w14:paraId="21C7539B">
            <w:pPr>
              <w:spacing w:line="360" w:lineRule="auto"/>
              <w:jc w:val="center"/>
              <w:rPr>
                <w:rFonts w:hint="eastAsia" w:ascii="宋体" w:hAnsi="宋体" w:cs="宋体"/>
                <w:color w:val="auto"/>
                <w:sz w:val="24"/>
                <w:szCs w:val="24"/>
                <w:highlight w:val="none"/>
              </w:rPr>
            </w:pPr>
          </w:p>
        </w:tc>
        <w:tc>
          <w:tcPr>
            <w:tcW w:w="1422" w:type="dxa"/>
          </w:tcPr>
          <w:p w14:paraId="650A1644">
            <w:pPr>
              <w:spacing w:line="360" w:lineRule="auto"/>
              <w:jc w:val="center"/>
              <w:rPr>
                <w:rFonts w:hint="eastAsia" w:ascii="宋体" w:hAnsi="宋体" w:cs="宋体"/>
                <w:color w:val="auto"/>
                <w:sz w:val="24"/>
                <w:szCs w:val="24"/>
                <w:highlight w:val="none"/>
              </w:rPr>
            </w:pPr>
          </w:p>
        </w:tc>
        <w:tc>
          <w:tcPr>
            <w:tcW w:w="5925" w:type="dxa"/>
          </w:tcPr>
          <w:p w14:paraId="222370E1">
            <w:pPr>
              <w:spacing w:line="360" w:lineRule="auto"/>
              <w:rPr>
                <w:rFonts w:hint="eastAsia" w:ascii="宋体" w:hAnsi="宋体" w:cs="宋体"/>
                <w:bCs/>
                <w:color w:val="auto"/>
                <w:sz w:val="24"/>
                <w:szCs w:val="24"/>
                <w:highlight w:val="none"/>
              </w:rPr>
            </w:pPr>
            <w:r>
              <w:rPr>
                <w:rFonts w:hint="eastAsia" w:ascii="宋体" w:hAnsi="宋体" w:cs="宋体"/>
                <w:b/>
                <w:color w:val="auto"/>
                <w:sz w:val="24"/>
                <w:szCs w:val="24"/>
                <w:highlight w:val="none"/>
              </w:rPr>
              <w:t>★</w:t>
            </w:r>
            <w:r>
              <w:rPr>
                <w:rFonts w:hint="eastAsia" w:ascii="宋体" w:hAnsi="宋体"/>
                <w:b/>
                <w:color w:val="auto"/>
                <w:sz w:val="24"/>
                <w:szCs w:val="24"/>
                <w:highlight w:val="none"/>
              </w:rPr>
              <w:t>2.本项目采购最高限价为人民币696万元，投标人的报价不得超过以上最高限价，否则将按无效投标处理。</w:t>
            </w:r>
          </w:p>
        </w:tc>
      </w:tr>
      <w:tr w14:paraId="2F4BA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Pr>
          <w:p w14:paraId="6940DDA0">
            <w:pPr>
              <w:spacing w:line="360" w:lineRule="auto"/>
              <w:jc w:val="center"/>
              <w:rPr>
                <w:rFonts w:hint="eastAsia" w:ascii="宋体" w:hAnsi="宋体" w:cs="宋体"/>
                <w:color w:val="auto"/>
                <w:sz w:val="24"/>
                <w:szCs w:val="24"/>
                <w:highlight w:val="none"/>
              </w:rPr>
            </w:pPr>
          </w:p>
        </w:tc>
        <w:tc>
          <w:tcPr>
            <w:tcW w:w="696" w:type="dxa"/>
          </w:tcPr>
          <w:p w14:paraId="6682D371">
            <w:pPr>
              <w:spacing w:line="360" w:lineRule="auto"/>
              <w:jc w:val="center"/>
              <w:rPr>
                <w:rFonts w:hint="eastAsia" w:ascii="宋体" w:hAnsi="宋体" w:cs="宋体"/>
                <w:color w:val="auto"/>
                <w:sz w:val="24"/>
                <w:szCs w:val="24"/>
                <w:highlight w:val="none"/>
              </w:rPr>
            </w:pPr>
          </w:p>
        </w:tc>
        <w:tc>
          <w:tcPr>
            <w:tcW w:w="1422" w:type="dxa"/>
          </w:tcPr>
          <w:p w14:paraId="153E3CB7">
            <w:pPr>
              <w:spacing w:line="360" w:lineRule="auto"/>
              <w:jc w:val="center"/>
              <w:rPr>
                <w:rFonts w:hint="eastAsia" w:ascii="宋体" w:hAnsi="宋体" w:cs="宋体"/>
                <w:color w:val="auto"/>
                <w:sz w:val="24"/>
                <w:szCs w:val="24"/>
                <w:highlight w:val="none"/>
              </w:rPr>
            </w:pPr>
          </w:p>
        </w:tc>
        <w:tc>
          <w:tcPr>
            <w:tcW w:w="5925" w:type="dxa"/>
          </w:tcPr>
          <w:p w14:paraId="1BAB6949">
            <w:pPr>
              <w:spacing w:line="360" w:lineRule="auto"/>
              <w:ind w:firstLine="482" w:firstLineChars="200"/>
              <w:rPr>
                <w:rFonts w:hint="eastAsia" w:ascii="宋体" w:hAnsi="宋体" w:cs="宋体"/>
                <w:bCs/>
                <w:color w:val="auto"/>
                <w:sz w:val="24"/>
                <w:szCs w:val="24"/>
                <w:highlight w:val="none"/>
              </w:rPr>
            </w:pPr>
            <w:r>
              <w:rPr>
                <w:rFonts w:hint="eastAsia" w:ascii="宋体" w:hAnsi="宋体" w:cs="宋体"/>
                <w:b/>
                <w:color w:val="auto"/>
                <w:sz w:val="24"/>
                <w:szCs w:val="24"/>
                <w:highlight w:val="none"/>
              </w:rPr>
              <w:t>★</w:t>
            </w:r>
            <w:r>
              <w:rPr>
                <w:rFonts w:hint="eastAsia" w:ascii="宋体" w:hAnsi="宋体"/>
                <w:b/>
                <w:color w:val="auto"/>
                <w:sz w:val="24"/>
                <w:szCs w:val="24"/>
                <w:highlight w:val="none"/>
              </w:rPr>
              <w:t>1.交付使用期：合同签订后90个工作日生产完成，8月20日前安装到位</w:t>
            </w:r>
            <w:r>
              <w:rPr>
                <w:rFonts w:ascii="宋体" w:hAnsi="宋体"/>
                <w:b/>
                <w:color w:val="auto"/>
                <w:sz w:val="24"/>
                <w:szCs w:val="24"/>
                <w:highlight w:val="none"/>
              </w:rPr>
              <w:t>。【投标人需在投标文件中响应满足上述条款要求】</w:t>
            </w:r>
          </w:p>
        </w:tc>
      </w:tr>
    </w:tbl>
    <w:p w14:paraId="395E3B7F">
      <w:pP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备注：由于编排顺序混乱而导致投标文件被误读或漏读，该投标人的投标可能被视为无效投标或承担不利的评标结果。</w:t>
      </w:r>
    </w:p>
    <w:p w14:paraId="12BC5398">
      <w:pPr>
        <w:rPr>
          <w:rFonts w:hint="eastAsia" w:ascii="宋体" w:hAnsi="宋体" w:cs="宋体"/>
          <w:color w:val="auto"/>
          <w:sz w:val="32"/>
          <w:szCs w:val="32"/>
          <w:highlight w:val="none"/>
        </w:rPr>
      </w:pPr>
      <w:r>
        <w:rPr>
          <w:rFonts w:hint="eastAsia" w:ascii="宋体" w:hAnsi="宋体" w:cs="宋体"/>
          <w:color w:val="auto"/>
          <w:sz w:val="32"/>
          <w:szCs w:val="32"/>
          <w:highlight w:val="none"/>
        </w:rPr>
        <w:br w:type="page"/>
      </w:r>
    </w:p>
    <w:p w14:paraId="610B7FE1">
      <w:pPr>
        <w:spacing w:line="360" w:lineRule="auto"/>
        <w:ind w:firstLine="640" w:firstLineChars="200"/>
        <w:rPr>
          <w:rFonts w:hint="eastAsia" w:ascii="宋体" w:hAnsi="宋体" w:cs="宋体"/>
          <w:b/>
          <w:color w:val="auto"/>
          <w:sz w:val="32"/>
          <w:szCs w:val="32"/>
          <w:highlight w:val="none"/>
          <w:u w:val="single"/>
        </w:rPr>
      </w:pPr>
      <w:r>
        <w:rPr>
          <w:rFonts w:hint="eastAsia" w:ascii="宋体" w:hAnsi="宋体" w:cs="宋体"/>
          <w:color w:val="auto"/>
          <w:sz w:val="32"/>
          <w:szCs w:val="32"/>
          <w:highlight w:val="none"/>
        </w:rPr>
        <w:t>投标人须知前附表3：评标方法、评标标准、定标原则</w:t>
      </w:r>
    </w:p>
    <w:tbl>
      <w:tblPr>
        <w:tblStyle w:val="13"/>
        <w:tblW w:w="8100"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0"/>
      </w:tblGrid>
      <w:tr w14:paraId="031B8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tcPr>
          <w:p w14:paraId="2350A5F0">
            <w:pPr>
              <w:pStyle w:val="3"/>
              <w:numPr>
                <w:ilvl w:val="0"/>
                <w:numId w:val="1"/>
              </w:numPr>
              <w:snapToGrid w:val="0"/>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评标方法：</w:t>
            </w:r>
          </w:p>
          <w:p w14:paraId="141E1D32">
            <w:pPr>
              <w:pStyle w:val="3"/>
              <w:snapToGrid w:val="0"/>
              <w:spacing w:line="360" w:lineRule="auto"/>
              <w:ind w:left="480" w:firstLine="0"/>
              <w:rPr>
                <w:rFonts w:hint="eastAsia"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 xml:space="preserve">综合评分法  □ 最低评标价法  </w:t>
            </w:r>
          </w:p>
        </w:tc>
      </w:tr>
      <w:tr w14:paraId="7A8B6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tcPr>
          <w:p w14:paraId="1BBAAA12">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二、评标标准：</w:t>
            </w:r>
          </w:p>
          <w:p w14:paraId="6449A7A2">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（一）具体的评标标准、权重。</w:t>
            </w:r>
          </w:p>
          <w:p w14:paraId="6CB6839F">
            <w:pPr>
              <w:pStyle w:val="3"/>
              <w:snapToGrid w:val="0"/>
              <w:spacing w:line="360" w:lineRule="auto"/>
              <w:ind w:firstLine="720" w:firstLineChars="300"/>
              <w:rPr>
                <w:rFonts w:hint="eastAsia" w:ascii="宋体" w:hAnsi="宋体" w:cs="宋体"/>
                <w:color w:val="auto"/>
                <w:sz w:val="24"/>
                <w:szCs w:val="24"/>
                <w:highlight w:val="none"/>
              </w:rPr>
            </w:pPr>
            <w:r>
              <w:rPr>
                <w:rFonts w:hint="eastAsia" w:ascii="宋体" w:hAnsi="宋体" w:cs="宋体"/>
                <w:color w:val="auto"/>
                <w:sz w:val="24"/>
                <w:szCs w:val="24"/>
                <w:highlight w:val="none"/>
              </w:rPr>
              <w:t>详见附件</w:t>
            </w:r>
          </w:p>
          <w:p w14:paraId="0F7B65FC">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（二）推荐中标候选供应商名单。</w:t>
            </w:r>
          </w:p>
          <w:p w14:paraId="5316A74E">
            <w:pPr>
              <w:pStyle w:val="3"/>
              <w:snapToGrid w:val="0"/>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1、中标候选供应商数量：</w:t>
            </w:r>
            <w:r>
              <w:rPr>
                <w:rFonts w:hint="eastAsia" w:ascii="宋体" w:hAnsi="宋体" w:cs="宋体"/>
                <w:color w:val="auto"/>
                <w:sz w:val="24"/>
                <w:szCs w:val="24"/>
                <w:highlight w:val="none"/>
                <w:u w:val="single"/>
              </w:rPr>
              <w:t xml:space="preserve">  3</w:t>
            </w:r>
            <w:r>
              <w:rPr>
                <w:rFonts w:ascii="宋体" w:hAnsi="宋体" w:cs="宋体"/>
                <w:color w:val="auto"/>
                <w:sz w:val="24"/>
                <w:szCs w:val="24"/>
                <w:highlight w:val="none"/>
                <w:u w:val="single"/>
              </w:rPr>
              <w:t xml:space="preserve"> </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 xml:space="preserve"> 个。</w:t>
            </w:r>
          </w:p>
          <w:p w14:paraId="2178DBA4">
            <w:pPr>
              <w:pStyle w:val="3"/>
              <w:snapToGrid w:val="0"/>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2、中标候选供应商排列顺序。经投标文件初审、澄清有关问题、比较与评价评标程序后，按以下办法推荐中标候选供应商名单的排列顺序（请按采购项目的评标方法从以下两项中选择一项打“√”）：</w:t>
            </w:r>
          </w:p>
          <w:p w14:paraId="58B2A5DE">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□采用最低评标价法的，按投标报价由低到高顺序排列。投标报价相同的，按技术指标优劣顺序排列。</w:t>
            </w:r>
          </w:p>
          <w:p w14:paraId="1D6E41B6">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采用综合评分法的，按评审后得分由高到低顺序排列。得分相同的，按投标报价由低到高顺序排列。得分且投标报价相同的，按技术指标优劣顺序排列。</w:t>
            </w:r>
          </w:p>
          <w:p w14:paraId="0B305B17">
            <w:pPr>
              <w:pStyle w:val="8"/>
              <w:spacing w:after="0" w:line="360" w:lineRule="auto"/>
              <w:ind w:lef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3、关于同一品牌产品投标的相关规定</w:t>
            </w:r>
          </w:p>
          <w:p w14:paraId="11B7FB13">
            <w:pPr>
              <w:pStyle w:val="8"/>
              <w:spacing w:after="0" w:line="360" w:lineRule="auto"/>
              <w:ind w:lef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如果有多家投标人以同一品牌的产品参加投标，只能视为一家。</w:t>
            </w:r>
          </w:p>
          <w:p w14:paraId="37AD6CD2">
            <w:pPr>
              <w:spacing w:line="360" w:lineRule="auto"/>
              <w:ind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采用</w:t>
            </w:r>
            <w:r>
              <w:rPr>
                <w:color w:val="auto"/>
                <w:highlight w:val="none"/>
              </w:rPr>
              <w:fldChar w:fldCharType="begin"/>
            </w:r>
            <w:r>
              <w:rPr>
                <w:color w:val="auto"/>
                <w:highlight w:val="none"/>
              </w:rPr>
              <w:instrText xml:space="preserve"> HYPERLINK "http://lilun.caigou2003.com/recijiedu/2365668.html" \t "_blank" </w:instrText>
            </w:r>
            <w:r>
              <w:rPr>
                <w:color w:val="auto"/>
                <w:highlight w:val="none"/>
              </w:rPr>
              <w:fldChar w:fldCharType="separate"/>
            </w:r>
            <w:r>
              <w:rPr>
                <w:rFonts w:hint="eastAsia" w:ascii="宋体" w:hAnsi="宋体" w:cs="宋体"/>
                <w:color w:val="auto"/>
                <w:sz w:val="24"/>
                <w:szCs w:val="24"/>
                <w:highlight w:val="none"/>
              </w:rPr>
              <w:t>最低评标价法</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的采购项目，提供相同品牌产品的不同投标人参加同一合同项下投标的，以其中通过资格审查、符合性审查且报价最低的参加评标；报价相同的，由采购单位委托</w:t>
            </w:r>
            <w:r>
              <w:rPr>
                <w:color w:val="auto"/>
                <w:highlight w:val="none"/>
              </w:rPr>
              <w:fldChar w:fldCharType="begin"/>
            </w:r>
            <w:r>
              <w:rPr>
                <w:color w:val="auto"/>
                <w:highlight w:val="none"/>
              </w:rPr>
              <w:instrText xml:space="preserve"> HYPERLINK "http://lilun.caigou2003.com/recijiedu/2539165.html" \t "_blank" </w:instrText>
            </w:r>
            <w:r>
              <w:rPr>
                <w:color w:val="auto"/>
                <w:highlight w:val="none"/>
              </w:rPr>
              <w:fldChar w:fldCharType="separate"/>
            </w:r>
            <w:r>
              <w:rPr>
                <w:rFonts w:hint="eastAsia" w:ascii="宋体" w:hAnsi="宋体" w:cs="宋体"/>
                <w:color w:val="auto"/>
                <w:sz w:val="24"/>
                <w:szCs w:val="24"/>
                <w:highlight w:val="none"/>
              </w:rPr>
              <w:t>评标委员会</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按照招标文件规定的方式确定一个参加评标的投标人，招标文件未规定的采取随机抽取方式确定，其他投标无效。</w:t>
            </w:r>
          </w:p>
          <w:p w14:paraId="073328CC">
            <w:pPr>
              <w:spacing w:line="360" w:lineRule="auto"/>
              <w:ind w:firstLine="324"/>
              <w:rPr>
                <w:rFonts w:hint="eastAsia" w:ascii="宋体" w:hAnsi="宋体" w:cs="宋体"/>
                <w:color w:val="auto"/>
                <w:sz w:val="24"/>
                <w:szCs w:val="24"/>
                <w:highlight w:val="none"/>
              </w:rPr>
            </w:pPr>
            <w:r>
              <w:rPr>
                <w:rFonts w:hint="eastAsia" w:ascii="宋体" w:hAnsi="宋体" w:cs="宋体"/>
                <w:color w:val="auto"/>
                <w:sz w:val="24"/>
                <w:szCs w:val="24"/>
                <w:highlight w:val="none"/>
              </w:rPr>
              <w:t>使用</w:t>
            </w:r>
            <w:r>
              <w:rPr>
                <w:color w:val="auto"/>
                <w:highlight w:val="none"/>
              </w:rPr>
              <w:fldChar w:fldCharType="begin"/>
            </w:r>
            <w:r>
              <w:rPr>
                <w:color w:val="auto"/>
                <w:highlight w:val="none"/>
              </w:rPr>
              <w:instrText xml:space="preserve"> HYPERLINK "http://lilun.caigou2003.com/recijiedu/2365667.html" \t "_blank" </w:instrText>
            </w:r>
            <w:r>
              <w:rPr>
                <w:color w:val="auto"/>
                <w:highlight w:val="none"/>
              </w:rPr>
              <w:fldChar w:fldCharType="separate"/>
            </w:r>
            <w:r>
              <w:rPr>
                <w:rFonts w:hint="eastAsia" w:ascii="宋体" w:hAnsi="宋体" w:cs="宋体"/>
                <w:color w:val="auto"/>
                <w:sz w:val="24"/>
                <w:szCs w:val="24"/>
                <w:highlight w:val="none"/>
              </w:rPr>
              <w:t>综合评分法</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的采购项目，提供相同品牌产品且通过资格审查、符合性审查的不同投标人参加同一合同项下投标的，按一家投标人计算，评审后得分最高的同品牌投标人获得中标供应商推荐资格；评审得分相同的，由采购单位委托评标委员会按照招标文件规定的方式确定一个投标人获得中标供应商推荐资格，招标文件未规定的采取随机抽取方式确定，其他同品牌投标人不作为中标候选人。</w:t>
            </w:r>
          </w:p>
          <w:p w14:paraId="0D014F45">
            <w:pPr>
              <w:pStyle w:val="3"/>
              <w:snapToGrid w:val="0"/>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非单一产品采购项目，采购单位应当根据采购项目技术构成、产品价格比重等合理确定核心产品，并在招标文件中载明。多家投标人提供的核心产品品牌相同的，按前两款规定处理。</w:t>
            </w:r>
          </w:p>
        </w:tc>
      </w:tr>
      <w:tr w14:paraId="48BC4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tcPr>
          <w:p w14:paraId="5972C90F">
            <w:pPr>
              <w:pStyle w:val="3"/>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三、定标原则（确定中标供应商数量：</w:t>
            </w:r>
            <w:r>
              <w:rPr>
                <w:rFonts w:hint="eastAsia" w:ascii="宋体" w:hAnsi="宋体" w:cs="宋体"/>
                <w:color w:val="auto"/>
                <w:sz w:val="24"/>
                <w:szCs w:val="24"/>
                <w:highlight w:val="none"/>
                <w:u w:val="single"/>
              </w:rPr>
              <w:t xml:space="preserve"> 1 </w:t>
            </w:r>
            <w:r>
              <w:rPr>
                <w:rFonts w:hint="eastAsia" w:ascii="宋体" w:hAnsi="宋体" w:cs="宋体"/>
                <w:color w:val="auto"/>
                <w:sz w:val="24"/>
                <w:szCs w:val="24"/>
                <w:highlight w:val="none"/>
              </w:rPr>
              <w:t>个）：</w:t>
            </w:r>
          </w:p>
          <w:p w14:paraId="744295D1">
            <w:pPr>
              <w:pStyle w:val="3"/>
              <w:snapToGrid w:val="0"/>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□采购单位委托招标代理机构招标，在收到评标报告后五个工作日内，按照评标报告中推荐的中标候选供应商顺序确定中标供应商。</w:t>
            </w:r>
          </w:p>
          <w:p w14:paraId="50A2C766">
            <w:pPr>
              <w:pStyle w:val="3"/>
              <w:snapToGrid w:val="0"/>
              <w:spacing w:line="360" w:lineRule="auto"/>
              <w:ind w:firstLine="482" w:firstLineChars="200"/>
              <w:rPr>
                <w:rFonts w:hint="eastAsia"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采购单位委托招标代理机构招标，授权评标委员会直接确定中标供应商。</w:t>
            </w:r>
          </w:p>
          <w:p w14:paraId="7A2E5E53">
            <w:pPr>
              <w:pStyle w:val="3"/>
              <w:snapToGrid w:val="0"/>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采购单位自行组织招标，在评标结束后五个工作日内确定中标供应商。</w:t>
            </w:r>
          </w:p>
        </w:tc>
      </w:tr>
    </w:tbl>
    <w:p w14:paraId="4B747300">
      <w:pPr>
        <w:pStyle w:val="3"/>
        <w:snapToGrid w:val="0"/>
        <w:spacing w:line="360" w:lineRule="auto"/>
        <w:ind w:firstLine="0"/>
        <w:rPr>
          <w:rFonts w:hint="eastAsia" w:ascii="宋体" w:hAnsi="宋体" w:cs="宋体"/>
          <w:b/>
          <w:color w:val="auto"/>
          <w:sz w:val="24"/>
          <w:szCs w:val="24"/>
          <w:highlight w:val="none"/>
          <w:u w:val="single"/>
        </w:rPr>
      </w:pPr>
      <w:r>
        <w:rPr>
          <w:rFonts w:hint="eastAsia" w:ascii="宋体" w:hAnsi="宋体" w:cs="宋体"/>
          <w:b/>
          <w:color w:val="auto"/>
          <w:sz w:val="24"/>
          <w:szCs w:val="24"/>
          <w:highlight w:val="none"/>
          <w:u w:val="single"/>
        </w:rPr>
        <w:t>注：以联合体形式投标的，只能以联合体其中一方具备的条件作为评标依据。投标人应在投标文件中明确以联合体的确定一方的条件参与商务评分，投标人未明确的，则该投标人的该项商务评分按最低分处理。</w:t>
      </w:r>
    </w:p>
    <w:p w14:paraId="3FE75D01">
      <w:pPr>
        <w:tabs>
          <w:tab w:val="left" w:pos="-1080"/>
          <w:tab w:val="left" w:pos="180"/>
          <w:tab w:val="left" w:pos="1080"/>
        </w:tabs>
        <w:spacing w:line="360" w:lineRule="auto"/>
        <w:rPr>
          <w:rFonts w:hint="eastAsia" w:ascii="宋体" w:hAnsi="宋体" w:cs="宋体"/>
          <w:b/>
          <w:color w:val="auto"/>
          <w:sz w:val="24"/>
          <w:szCs w:val="24"/>
          <w:highlight w:val="none"/>
        </w:rPr>
      </w:pPr>
    </w:p>
    <w:p w14:paraId="79C1B094">
      <w:pPr>
        <w:tabs>
          <w:tab w:val="left" w:pos="-1080"/>
          <w:tab w:val="left" w:pos="180"/>
          <w:tab w:val="left" w:pos="1080"/>
        </w:tabs>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附件：评标标准、权重</w:t>
      </w:r>
    </w:p>
    <w:p w14:paraId="71400736">
      <w:pPr>
        <w:rPr>
          <w:rFonts w:hint="eastAsia" w:ascii="宋体" w:hAnsi="宋体" w:cs="宋体"/>
          <w:color w:val="auto"/>
          <w:szCs w:val="21"/>
          <w:highlight w:val="none"/>
        </w:rPr>
      </w:pPr>
      <w:r>
        <w:rPr>
          <w:rFonts w:hint="eastAsia" w:ascii="宋体" w:hAnsi="宋体" w:cs="宋体"/>
          <w:b/>
          <w:bCs/>
          <w:color w:val="auto"/>
          <w:szCs w:val="21"/>
          <w:highlight w:val="none"/>
        </w:rPr>
        <w:t>（一）技术评分(F1)：按55分评分法，技术评分考虑下列因素</w:t>
      </w:r>
      <w:r>
        <w:rPr>
          <w:rFonts w:hint="eastAsia" w:ascii="宋体" w:hAnsi="宋体" w:cs="宋体"/>
          <w:color w:val="auto"/>
          <w:szCs w:val="21"/>
          <w:highlight w:val="none"/>
        </w:rPr>
        <w:t>：</w:t>
      </w:r>
    </w:p>
    <w:tbl>
      <w:tblPr>
        <w:tblStyle w:val="13"/>
        <w:tblW w:w="8619" w:type="dxa"/>
        <w:jc w:val="center"/>
        <w:tblLayout w:type="fixed"/>
        <w:tblCellMar>
          <w:top w:w="0" w:type="dxa"/>
          <w:left w:w="108" w:type="dxa"/>
          <w:bottom w:w="0" w:type="dxa"/>
          <w:right w:w="108" w:type="dxa"/>
        </w:tblCellMar>
      </w:tblPr>
      <w:tblGrid>
        <w:gridCol w:w="763"/>
        <w:gridCol w:w="7106"/>
        <w:gridCol w:w="750"/>
      </w:tblGrid>
      <w:tr w14:paraId="5590D1AD">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4138587E">
            <w:pPr>
              <w:spacing w:line="360" w:lineRule="auto"/>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序号</w:t>
            </w:r>
          </w:p>
        </w:tc>
        <w:tc>
          <w:tcPr>
            <w:tcW w:w="7106" w:type="dxa"/>
            <w:tcBorders>
              <w:top w:val="single" w:color="auto" w:sz="4" w:space="0"/>
              <w:left w:val="single" w:color="auto" w:sz="4" w:space="0"/>
              <w:bottom w:val="single" w:color="auto" w:sz="4" w:space="0"/>
              <w:right w:val="single" w:color="auto" w:sz="4" w:space="0"/>
            </w:tcBorders>
            <w:vAlign w:val="center"/>
          </w:tcPr>
          <w:p w14:paraId="307EE3A1">
            <w:pPr>
              <w:spacing w:line="360" w:lineRule="auto"/>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细则内容</w:t>
            </w:r>
          </w:p>
        </w:tc>
        <w:tc>
          <w:tcPr>
            <w:tcW w:w="750" w:type="dxa"/>
            <w:tcBorders>
              <w:top w:val="single" w:color="auto" w:sz="4" w:space="0"/>
              <w:left w:val="single" w:color="auto" w:sz="4" w:space="0"/>
              <w:bottom w:val="single" w:color="auto" w:sz="4" w:space="0"/>
              <w:right w:val="single" w:color="auto" w:sz="4" w:space="0"/>
            </w:tcBorders>
            <w:vAlign w:val="center"/>
          </w:tcPr>
          <w:p w14:paraId="4DCF7A40">
            <w:pPr>
              <w:spacing w:line="360" w:lineRule="auto"/>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满分</w:t>
            </w:r>
          </w:p>
          <w:p w14:paraId="675E45C6">
            <w:pPr>
              <w:spacing w:line="360" w:lineRule="auto"/>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分值</w:t>
            </w:r>
          </w:p>
        </w:tc>
      </w:tr>
      <w:tr w14:paraId="37925423">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136AF2E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7106" w:type="dxa"/>
            <w:tcBorders>
              <w:top w:val="single" w:color="auto" w:sz="4" w:space="0"/>
              <w:left w:val="single" w:color="auto" w:sz="4" w:space="0"/>
              <w:bottom w:val="single" w:color="auto" w:sz="4" w:space="0"/>
              <w:right w:val="single" w:color="auto" w:sz="4" w:space="0"/>
            </w:tcBorders>
            <w:vAlign w:val="center"/>
          </w:tcPr>
          <w:p w14:paraId="39B60F76">
            <w:pPr>
              <w:spacing w:line="360" w:lineRule="auto"/>
              <w:rPr>
                <w:rFonts w:hint="eastAsia" w:ascii="宋体" w:hAnsi="宋体" w:cs="宋体"/>
                <w:color w:val="auto"/>
                <w:sz w:val="24"/>
                <w:szCs w:val="24"/>
                <w:highlight w:val="none"/>
              </w:rPr>
            </w:pPr>
            <w:r>
              <w:rPr>
                <w:rFonts w:hint="eastAsia" w:asciiTheme="majorEastAsia" w:hAnsiTheme="majorEastAsia" w:eastAsiaTheme="majorEastAsia" w:cstheme="majorEastAsia"/>
                <w:color w:val="auto"/>
                <w:sz w:val="24"/>
                <w:szCs w:val="24"/>
                <w:highlight w:val="none"/>
              </w:rPr>
              <w:t>质量保证措施方案3分：根据投标人结合本项目提供的质量保证措施方案情况进行评分，方案至少包含：生产工艺流程控制、质检、应急措施、备品备件储备等。方案完整，符合项目实际，详细、具体、明确的得3分；方案基本完整，符合项目实际，方案较简单或有缺漏的得2.8分；未提供相关内容或方案存在明显问题不可行的不得分。</w:t>
            </w:r>
          </w:p>
        </w:tc>
        <w:tc>
          <w:tcPr>
            <w:tcW w:w="750" w:type="dxa"/>
            <w:tcBorders>
              <w:top w:val="single" w:color="auto" w:sz="4" w:space="0"/>
              <w:left w:val="single" w:color="auto" w:sz="4" w:space="0"/>
              <w:bottom w:val="single" w:color="auto" w:sz="4" w:space="0"/>
              <w:right w:val="single" w:color="auto" w:sz="4" w:space="0"/>
            </w:tcBorders>
            <w:vAlign w:val="center"/>
          </w:tcPr>
          <w:p w14:paraId="3F6AE90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588AB57C">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4BDE1B3B">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7106" w:type="dxa"/>
            <w:tcBorders>
              <w:top w:val="single" w:color="auto" w:sz="4" w:space="0"/>
              <w:left w:val="single" w:color="auto" w:sz="4" w:space="0"/>
              <w:bottom w:val="single" w:color="auto" w:sz="4" w:space="0"/>
              <w:right w:val="single" w:color="auto" w:sz="4" w:space="0"/>
            </w:tcBorders>
            <w:vAlign w:val="center"/>
          </w:tcPr>
          <w:p w14:paraId="4B62F259">
            <w:pPr>
              <w:spacing w:line="360" w:lineRule="auto"/>
              <w:rPr>
                <w:rFonts w:hint="eastAsia" w:ascii="宋体" w:hAnsi="宋体" w:cs="宋体"/>
                <w:color w:val="auto"/>
                <w:sz w:val="24"/>
                <w:szCs w:val="24"/>
                <w:highlight w:val="none"/>
              </w:rPr>
            </w:pPr>
            <w:r>
              <w:rPr>
                <w:rFonts w:hint="eastAsia" w:asciiTheme="majorEastAsia" w:hAnsiTheme="majorEastAsia" w:eastAsiaTheme="majorEastAsia" w:cstheme="majorEastAsia"/>
                <w:color w:val="auto"/>
                <w:sz w:val="24"/>
                <w:szCs w:val="24"/>
                <w:highlight w:val="none"/>
              </w:rPr>
              <w:t>生产工艺及流程3分：根据投标人现有生产工艺、所投货物表面处理、防腐工艺等具体实施情况进行评分：生产工艺及流程包含生产工艺、技术人员配备、表面处理、防腐工艺, 能满足采购需求，生产工艺及流程详细、具体、明确的得3分；生产工艺及流程能满足采购需求但较简单或有缺漏的得2.8分；未提供相关内容或方案存在明显问题不可行的不得分。</w:t>
            </w:r>
          </w:p>
        </w:tc>
        <w:tc>
          <w:tcPr>
            <w:tcW w:w="750" w:type="dxa"/>
            <w:tcBorders>
              <w:top w:val="single" w:color="auto" w:sz="4" w:space="0"/>
              <w:left w:val="single" w:color="auto" w:sz="4" w:space="0"/>
              <w:bottom w:val="single" w:color="auto" w:sz="4" w:space="0"/>
              <w:right w:val="single" w:color="auto" w:sz="4" w:space="0"/>
            </w:tcBorders>
            <w:vAlign w:val="center"/>
          </w:tcPr>
          <w:p w14:paraId="1FCC698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3B09F6F3">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6E08A63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7106" w:type="dxa"/>
            <w:tcBorders>
              <w:top w:val="single" w:color="auto" w:sz="4" w:space="0"/>
              <w:left w:val="single" w:color="auto" w:sz="4" w:space="0"/>
              <w:bottom w:val="single" w:color="auto" w:sz="4" w:space="0"/>
              <w:right w:val="single" w:color="auto" w:sz="4" w:space="0"/>
            </w:tcBorders>
            <w:vAlign w:val="center"/>
          </w:tcPr>
          <w:p w14:paraId="1C3B8B95">
            <w:pPr>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投标人所投“组合式公寓床(含铁床、书桌、衣柜)”,提供由第三方检测机构出具的抽样检验检测报告，检测项目内容至少包含以下项目:①主要尺寸及偏差，形状和位置公差，外观性能：金属件-管材、电镀件、焊接件、冲压件、喷漆（塑）涂层、合金件等其他金属件检验结果均符合要求；②理化性能：金属喷漆（塑）涂层-硬度、冲击强度、耐盐浴100h、附着力达到0级；③力学性能：床类、扶梯、安全栏、桌类稳定性、柜架类稳定性，品质属性：产品寿命-桌类桌面水平耐久性、床类床结构耐久性、柜类拉门耐久性；④燃烧性能；</w:t>
            </w:r>
            <w:r>
              <w:rPr>
                <w:rFonts w:ascii="宋体" w:hAnsi="宋体" w:cs="宋体"/>
                <w:color w:val="auto"/>
                <w:kern w:val="0"/>
                <w:sz w:val="24"/>
                <w:highlight w:val="none"/>
              </w:rPr>
              <w:t>⑤</w:t>
            </w:r>
            <w:r>
              <w:rPr>
                <w:rFonts w:hint="eastAsia" w:ascii="宋体" w:hAnsi="宋体" w:cs="宋体"/>
                <w:color w:val="auto"/>
                <w:kern w:val="0"/>
                <w:sz w:val="24"/>
                <w:highlight w:val="none"/>
              </w:rPr>
              <w:t>产品有害物质（甲醛释放量（气候箱法）</w:t>
            </w:r>
            <w:r>
              <w:rPr>
                <w:rFonts w:hint="eastAsia" w:ascii="宋体" w:hAnsi="宋体" w:cs="宋体"/>
                <w:color w:val="auto"/>
                <w:kern w:val="0"/>
                <w:sz w:val="28"/>
                <w:szCs w:val="28"/>
                <w:highlight w:val="none"/>
              </w:rPr>
              <w:t>≦0.05mg/m³</w:t>
            </w:r>
            <w:r>
              <w:rPr>
                <w:rFonts w:hint="eastAsia" w:ascii="宋体" w:hAnsi="宋体" w:cs="宋体"/>
                <w:color w:val="auto"/>
                <w:kern w:val="0"/>
                <w:sz w:val="24"/>
                <w:highlight w:val="none"/>
              </w:rPr>
              <w:t>，苯、甲苯、二甲苯、总挥发性有机化合物TVOC）检验为合格，家具涂层可迁移元素（铅、镉、铬、汞、锑、钡、硒、砷）检验为合格，家具中其他有害物质限量：邻苯二甲酸酯、多环芳烃未检出；</w:t>
            </w:r>
            <w:r>
              <w:rPr>
                <w:rFonts w:ascii="宋体" w:hAnsi="宋体" w:cs="宋体"/>
                <w:color w:val="auto"/>
                <w:kern w:val="0"/>
                <w:sz w:val="24"/>
                <w:highlight w:val="none"/>
              </w:rPr>
              <w:t>⑥</w:t>
            </w:r>
            <w:r>
              <w:rPr>
                <w:rFonts w:hint="eastAsia" w:ascii="宋体" w:hAnsi="宋体" w:cs="宋体"/>
                <w:color w:val="auto"/>
                <w:kern w:val="0"/>
                <w:sz w:val="24"/>
                <w:highlight w:val="none"/>
              </w:rPr>
              <w:t>安全性能：结构安全。</w:t>
            </w:r>
          </w:p>
          <w:p w14:paraId="7010D673">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6733CDDD">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69BBB19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7339528A">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734B363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7106" w:type="dxa"/>
            <w:tcBorders>
              <w:top w:val="single" w:color="auto" w:sz="4" w:space="0"/>
              <w:left w:val="single" w:color="auto" w:sz="4" w:space="0"/>
              <w:bottom w:val="single" w:color="auto" w:sz="4" w:space="0"/>
              <w:right w:val="single" w:color="auto" w:sz="4" w:space="0"/>
            </w:tcBorders>
          </w:tcPr>
          <w:p w14:paraId="03B2F8B5">
            <w:pPr>
              <w:spacing w:line="360" w:lineRule="auto"/>
              <w:rPr>
                <w:rFonts w:hint="eastAsia" w:ascii="宋体" w:hAnsi="宋体" w:cs="宋体"/>
                <w:color w:val="auto"/>
                <w:sz w:val="24"/>
                <w:szCs w:val="24"/>
                <w:highlight w:val="none"/>
              </w:rPr>
            </w:pPr>
            <w:r>
              <w:rPr>
                <w:rFonts w:hint="eastAsia" w:ascii="宋体" w:hAnsi="宋体" w:cs="宋体"/>
                <w:color w:val="auto"/>
                <w:kern w:val="0"/>
                <w:sz w:val="24"/>
                <w:highlight w:val="none"/>
              </w:rPr>
              <w:t>投标人所投货物所使用的“杉木床铺板”,提供由第三方检测机构出具的抽样检验检测报告，检测项目内容至少包含以下项目:①外观要求：木材-贯通裂缝、虫蛀、腐朽材、树脂囊、节子、死节、孔洞、夹皮和树脂道、树胶道、其他轻微材质缺陷检验结果均符合要求，木工要求（板件或部件在接触人体或贮物部位不应有毛刺、刃口或棱角；板件或部件的外表应光滑，倒棱、圆角、圆线应均匀一致）检验结果符合要求； ②甲醛释放量（1</w:t>
            </w:r>
            <w:r>
              <w:rPr>
                <w:rFonts w:hint="eastAsia" w:ascii="宋体" w:hAnsi="宋体" w:cs="宋体"/>
                <w:color w:val="auto"/>
                <w:sz w:val="24"/>
                <w:highlight w:val="none"/>
              </w:rPr>
              <w:t>m³</w:t>
            </w:r>
            <w:r>
              <w:rPr>
                <w:rFonts w:hint="eastAsia" w:ascii="宋体" w:hAnsi="宋体" w:cs="宋体"/>
                <w:color w:val="auto"/>
                <w:kern w:val="0"/>
                <w:sz w:val="24"/>
                <w:highlight w:val="none"/>
              </w:rPr>
              <w:t>气候箱法）未检出，家具涂层可迁移元素（铅、汞、铬、镉、锑、钡、硒、砷），苯，甲苯，二甲苯，总挥发性有机化合物（TVOC),五氯苯酚检验结果都为合格；</w:t>
            </w:r>
            <w:r>
              <w:rPr>
                <w:rFonts w:ascii="宋体" w:hAnsi="宋体" w:cs="宋体"/>
                <w:color w:val="auto"/>
                <w:kern w:val="0"/>
                <w:sz w:val="24"/>
                <w:highlight w:val="none"/>
              </w:rPr>
              <w:t>③</w:t>
            </w:r>
            <w:r>
              <w:rPr>
                <w:rFonts w:hint="eastAsia" w:ascii="宋体" w:hAnsi="宋体" w:cs="宋体"/>
                <w:color w:val="auto"/>
                <w:kern w:val="0"/>
                <w:sz w:val="24"/>
                <w:highlight w:val="none"/>
              </w:rPr>
              <w:t>木材含水率</w:t>
            </w:r>
            <w:r>
              <w:rPr>
                <w:rFonts w:hint="eastAsia" w:ascii="宋体" w:hAnsi="宋体" w:cs="宋体"/>
                <w:color w:val="auto"/>
                <w:sz w:val="24"/>
                <w:highlight w:val="none"/>
              </w:rPr>
              <w:t>≤9%</w:t>
            </w:r>
            <w:r>
              <w:rPr>
                <w:rFonts w:hint="eastAsia" w:ascii="宋体" w:hAnsi="宋体" w:cs="宋体"/>
                <w:color w:val="auto"/>
                <w:kern w:val="0"/>
                <w:sz w:val="24"/>
                <w:highlight w:val="none"/>
              </w:rPr>
              <w:t>。</w:t>
            </w: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50400DFE">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41F8B9E3">
            <w:pPr>
              <w:spacing w:line="360" w:lineRule="auto"/>
              <w:jc w:val="center"/>
              <w:rPr>
                <w:rFonts w:hint="eastAsia" w:ascii="宋体" w:hAnsi="宋体" w:cs="宋体"/>
                <w:color w:val="auto"/>
                <w:sz w:val="24"/>
                <w:szCs w:val="24"/>
                <w:highlight w:val="none"/>
              </w:rPr>
            </w:pPr>
            <w:r>
              <w:rPr>
                <w:rFonts w:hint="eastAsia" w:ascii="宋体" w:hAnsi="宋体"/>
                <w:bCs/>
                <w:color w:val="auto"/>
                <w:sz w:val="24"/>
                <w:highlight w:val="none"/>
              </w:rPr>
              <w:t>3</w:t>
            </w:r>
          </w:p>
        </w:tc>
      </w:tr>
      <w:tr w14:paraId="2BBC5299">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5A0D8877">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7106" w:type="dxa"/>
            <w:tcBorders>
              <w:top w:val="single" w:color="auto" w:sz="4" w:space="0"/>
              <w:left w:val="single" w:color="auto" w:sz="4" w:space="0"/>
              <w:bottom w:val="single" w:color="auto" w:sz="4" w:space="0"/>
              <w:right w:val="single" w:color="auto" w:sz="4" w:space="0"/>
            </w:tcBorders>
            <w:vAlign w:val="center"/>
          </w:tcPr>
          <w:p w14:paraId="3165C28A">
            <w:pPr>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投标人所投货物所使用的“公寓椅”,提供由第三方检测机构出具的抽样检验检测报告，检测项目内容至少包含以下项目:①形状和位置公差：底脚着地平稳性</w:t>
            </w:r>
            <w:r>
              <w:rPr>
                <w:rFonts w:hint="eastAsia" w:ascii="宋体" w:hAnsi="宋体" w:cs="宋体"/>
                <w:color w:val="auto"/>
                <w:sz w:val="24"/>
                <w:highlight w:val="none"/>
              </w:rPr>
              <w:t>≤1mm，外观性能：</w:t>
            </w:r>
            <w:r>
              <w:rPr>
                <w:rFonts w:hint="eastAsia" w:ascii="宋体" w:hAnsi="宋体" w:cs="宋体"/>
                <w:color w:val="auto"/>
                <w:kern w:val="0"/>
                <w:sz w:val="24"/>
                <w:highlight w:val="none"/>
              </w:rPr>
              <w:t>金属件外观性能-管材、焊接件、喷漆（塑）涂层，安全性能：结构安全； ②理化性能：金属喷漆（塑）涂层-硬度、冲击强度、耐盐浴100h、附着力； ③力学性能：椅凳类强度和耐久性，④耐腐蚀试验：中性盐雾试验（NSS）法18h涂层本身的耐腐蚀等级达到10级、中性盐雾试验（NSS）法18h涂层对基体的保护等级达到10级；</w:t>
            </w:r>
            <w:r>
              <w:rPr>
                <w:rFonts w:ascii="宋体" w:hAnsi="宋体" w:cs="宋体"/>
                <w:color w:val="auto"/>
                <w:kern w:val="0"/>
                <w:sz w:val="24"/>
                <w:highlight w:val="none"/>
              </w:rPr>
              <w:t>⑤</w:t>
            </w:r>
            <w:r>
              <w:rPr>
                <w:rFonts w:hint="eastAsia" w:ascii="宋体" w:hAnsi="宋体" w:cs="宋体"/>
                <w:color w:val="auto"/>
                <w:kern w:val="0"/>
                <w:sz w:val="24"/>
                <w:highlight w:val="none"/>
              </w:rPr>
              <w:t>燃烧性能符合GB 8624-2012要求检验为合格；</w:t>
            </w:r>
            <w:r>
              <w:rPr>
                <w:rFonts w:ascii="Calibri" w:hAnsi="Calibri" w:cs="Calibri"/>
                <w:color w:val="auto"/>
                <w:kern w:val="0"/>
                <w:sz w:val="24"/>
                <w:highlight w:val="none"/>
              </w:rPr>
              <w:t>⑥</w:t>
            </w:r>
            <w:r>
              <w:rPr>
                <w:rFonts w:hint="eastAsia" w:ascii="Calibri" w:hAnsi="Calibri" w:cs="Calibri"/>
                <w:color w:val="auto"/>
                <w:kern w:val="0"/>
                <w:sz w:val="24"/>
                <w:highlight w:val="none"/>
              </w:rPr>
              <w:t>产品有害物质：</w:t>
            </w:r>
            <w:r>
              <w:rPr>
                <w:rFonts w:hint="eastAsia" w:ascii="宋体" w:hAnsi="宋体" w:cs="宋体"/>
                <w:color w:val="auto"/>
                <w:kern w:val="0"/>
                <w:sz w:val="24"/>
                <w:highlight w:val="none"/>
              </w:rPr>
              <w:t>甲醛释放量（气候箱法）未检出，产品有害物质（苯，甲苯，二甲苯，总挥发性有机化合物（TVOC）</w:t>
            </w:r>
            <w:r>
              <w:rPr>
                <w:rFonts w:ascii="宋体" w:hAnsi="宋体" w:cs="宋体"/>
                <w:color w:val="auto"/>
                <w:kern w:val="0"/>
                <w:sz w:val="24"/>
                <w:highlight w:val="none"/>
              </w:rPr>
              <w:t>)</w:t>
            </w:r>
            <w:r>
              <w:rPr>
                <w:rFonts w:hint="eastAsia" w:ascii="宋体" w:hAnsi="宋体" w:cs="宋体"/>
                <w:color w:val="auto"/>
                <w:kern w:val="0"/>
                <w:sz w:val="24"/>
                <w:highlight w:val="none"/>
              </w:rPr>
              <w:t>检验为合格，家具涂层可迁移元素（铅、镉、铬、汞、锑、钡、硒、砷）检验为合格，家具中其他有害物质限量：邻苯二甲酸酯未检出。</w:t>
            </w:r>
          </w:p>
          <w:p w14:paraId="41C99DBB">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45AE59AD">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7838CE9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6051C123">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2577B6B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7106" w:type="dxa"/>
            <w:tcBorders>
              <w:top w:val="single" w:color="auto" w:sz="4" w:space="0"/>
              <w:left w:val="single" w:color="auto" w:sz="4" w:space="0"/>
              <w:bottom w:val="single" w:color="auto" w:sz="4" w:space="0"/>
              <w:right w:val="single" w:color="auto" w:sz="4" w:space="0"/>
            </w:tcBorders>
            <w:vAlign w:val="center"/>
          </w:tcPr>
          <w:p w14:paraId="651E0066">
            <w:pPr>
              <w:spacing w:line="360" w:lineRule="auto"/>
              <w:rPr>
                <w:rFonts w:hint="eastAsia" w:ascii="宋体" w:hAnsi="宋体" w:cs="宋体"/>
                <w:color w:val="auto"/>
                <w:sz w:val="24"/>
                <w:highlight w:val="none"/>
              </w:rPr>
            </w:pPr>
            <w:r>
              <w:rPr>
                <w:rFonts w:hint="eastAsia" w:ascii="宋体" w:hAnsi="宋体" w:cs="宋体"/>
                <w:color w:val="auto"/>
                <w:kern w:val="0"/>
                <w:sz w:val="24"/>
                <w:highlight w:val="none"/>
              </w:rPr>
              <w:t>投标人所投货物所使用的部件及原辅料“塑粉”,提供由第三方检测机构出具的抽样检验检测报告，检测项目内容至少包含以下项目:</w:t>
            </w:r>
            <w:r>
              <w:rPr>
                <w:rFonts w:hint="eastAsia" w:ascii="宋体" w:hAnsi="宋体" w:cs="宋体"/>
                <w:color w:val="auto"/>
                <w:sz w:val="24"/>
                <w:highlight w:val="none"/>
              </w:rPr>
              <w:t>①抗霉菌性能；②抗细菌性能；③附着力达到0级，耐酸性3%盐酸溶液240h无异常，耐碱性，耐盐雾性（中性盐雾：大于等于300h划痕处单向腐蚀蔓延宽度小于2.0mm，未划痕区无起泡、生锈、开裂、剥落等异常现象），耐人工气候老化性；④流动性；⑤铅笔硬度</w:t>
            </w:r>
            <w:r>
              <w:rPr>
                <w:rFonts w:ascii="宋体" w:hAnsi="宋体" w:cs="宋体"/>
                <w:color w:val="auto"/>
                <w:sz w:val="24"/>
                <w:highlight w:val="none"/>
              </w:rPr>
              <w:t>≥</w:t>
            </w:r>
            <w:r>
              <w:rPr>
                <w:rFonts w:hint="eastAsia" w:ascii="宋体" w:hAnsi="宋体" w:cs="宋体"/>
                <w:color w:val="auto"/>
                <w:sz w:val="24"/>
                <w:highlight w:val="none"/>
              </w:rPr>
              <w:t>3H；</w:t>
            </w:r>
          </w:p>
          <w:p w14:paraId="6FA7B374">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7F19E276">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417CC6C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05FB4222">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4944879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7106" w:type="dxa"/>
            <w:tcBorders>
              <w:top w:val="single" w:color="auto" w:sz="4" w:space="0"/>
              <w:left w:val="single" w:color="auto" w:sz="4" w:space="0"/>
              <w:bottom w:val="single" w:color="auto" w:sz="4" w:space="0"/>
              <w:right w:val="single" w:color="auto" w:sz="4" w:space="0"/>
            </w:tcBorders>
            <w:vAlign w:val="center"/>
          </w:tcPr>
          <w:p w14:paraId="7793502C">
            <w:pPr>
              <w:spacing w:line="360" w:lineRule="auto"/>
              <w:rPr>
                <w:rFonts w:hint="eastAsia" w:ascii="宋体" w:hAnsi="宋体" w:cs="宋体"/>
                <w:color w:val="auto"/>
                <w:sz w:val="24"/>
                <w:highlight w:val="none"/>
              </w:rPr>
            </w:pPr>
            <w:r>
              <w:rPr>
                <w:rFonts w:hint="eastAsia" w:ascii="宋体" w:hAnsi="宋体" w:cs="宋体"/>
                <w:color w:val="auto"/>
                <w:kern w:val="0"/>
                <w:sz w:val="24"/>
                <w:highlight w:val="none"/>
              </w:rPr>
              <w:t>投标人所投货物所使用的部件及原辅料“封边条”,提供由第三方检测机构出具的抽样检验检测报告，检测项目内容至少包含以下项目:</w:t>
            </w:r>
            <w:r>
              <w:rPr>
                <w:rFonts w:hint="eastAsia" w:ascii="宋体" w:hAnsi="宋体" w:cs="宋体"/>
                <w:color w:val="auto"/>
                <w:sz w:val="24"/>
                <w:highlight w:val="none"/>
              </w:rPr>
              <w:t>①抗菌性能：抗菌活性值大肠杆菌</w:t>
            </w:r>
            <w:r>
              <w:rPr>
                <w:rFonts w:ascii="宋体" w:hAnsi="宋体" w:cs="宋体"/>
                <w:color w:val="auto"/>
                <w:sz w:val="24"/>
                <w:highlight w:val="none"/>
              </w:rPr>
              <w:t>≥</w:t>
            </w:r>
            <w:r>
              <w:rPr>
                <w:rFonts w:hint="eastAsia" w:ascii="宋体" w:hAnsi="宋体" w:cs="宋体"/>
                <w:color w:val="auto"/>
                <w:sz w:val="24"/>
                <w:highlight w:val="none"/>
              </w:rPr>
              <w:t>2，抗菌率大肠杆菌</w:t>
            </w:r>
            <w:r>
              <w:rPr>
                <w:rFonts w:ascii="宋体" w:hAnsi="宋体" w:cs="宋体"/>
                <w:color w:val="auto"/>
                <w:sz w:val="24"/>
                <w:highlight w:val="none"/>
              </w:rPr>
              <w:t>≥</w:t>
            </w:r>
            <w:r>
              <w:rPr>
                <w:rFonts w:hint="eastAsia" w:ascii="宋体" w:hAnsi="宋体" w:cs="宋体"/>
                <w:color w:val="auto"/>
                <w:sz w:val="24"/>
                <w:highlight w:val="none"/>
              </w:rPr>
              <w:t>99%；②防霉性能：防霉等级-出芽短梗霉达到0级；③理化性能：耐干热性、耐磨性、耐开裂性、耐老化性、耐冷热循环性；④有害物质限量：甲醛释放量，氯乙烯单体，可迁移元素：可溶性重金属-铅、镉、铬、汞、砷、钡、锑、硒</w:t>
            </w:r>
            <w:r>
              <w:rPr>
                <w:rFonts w:hint="eastAsia" w:ascii="宋体" w:hAnsi="宋体" w:cs="宋体"/>
                <w:bCs/>
                <w:color w:val="auto"/>
                <w:sz w:val="24"/>
                <w:highlight w:val="none"/>
              </w:rPr>
              <w:t>检验结果均为未检出</w:t>
            </w:r>
            <w:r>
              <w:rPr>
                <w:rFonts w:hint="eastAsia" w:ascii="宋体" w:hAnsi="宋体" w:cs="宋体"/>
                <w:color w:val="auto"/>
                <w:sz w:val="24"/>
                <w:highlight w:val="none"/>
              </w:rPr>
              <w:t>；</w:t>
            </w:r>
          </w:p>
          <w:p w14:paraId="4E594D1A">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54EAB655">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16E01DD4">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305BA2A8">
        <w:tblPrEx>
          <w:tblCellMar>
            <w:top w:w="0" w:type="dxa"/>
            <w:left w:w="108" w:type="dxa"/>
            <w:bottom w:w="0" w:type="dxa"/>
            <w:right w:w="108" w:type="dxa"/>
          </w:tblCellMar>
        </w:tblPrEx>
        <w:trPr>
          <w:trHeight w:val="901"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07F0C3A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7106" w:type="dxa"/>
            <w:tcBorders>
              <w:top w:val="single" w:color="auto" w:sz="4" w:space="0"/>
              <w:left w:val="single" w:color="auto" w:sz="4" w:space="0"/>
              <w:bottom w:val="single" w:color="auto" w:sz="4" w:space="0"/>
              <w:right w:val="single" w:color="auto" w:sz="4" w:space="0"/>
            </w:tcBorders>
            <w:vAlign w:val="center"/>
          </w:tcPr>
          <w:p w14:paraId="57ECC5DF">
            <w:pPr>
              <w:spacing w:line="360" w:lineRule="auto"/>
              <w:rPr>
                <w:rFonts w:hint="eastAsia" w:ascii="宋体" w:hAnsi="宋体" w:cs="宋体"/>
                <w:color w:val="auto"/>
                <w:sz w:val="24"/>
                <w:highlight w:val="none"/>
              </w:rPr>
            </w:pPr>
            <w:r>
              <w:rPr>
                <w:rFonts w:hint="eastAsia" w:ascii="宋体" w:hAnsi="宋体" w:cs="宋体"/>
                <w:color w:val="auto"/>
                <w:kern w:val="0"/>
                <w:sz w:val="24"/>
                <w:highlight w:val="none"/>
              </w:rPr>
              <w:t>投标人所投货物所使用的部件及原辅料“钢管”,提供由第三方检测机构出具的抽样检验检测报告，检测项目内容至少包含以下项目:</w:t>
            </w:r>
            <w:r>
              <w:rPr>
                <w:rFonts w:hint="eastAsia" w:ascii="宋体" w:hAnsi="宋体" w:cs="宋体"/>
                <w:color w:val="auto"/>
                <w:sz w:val="24"/>
                <w:highlight w:val="none"/>
              </w:rPr>
              <w:t>①中性盐雾试验（NSS）法连续喷雾18h：涂层本身的耐腐蚀等级</w:t>
            </w:r>
            <w:r>
              <w:rPr>
                <w:rFonts w:ascii="宋体" w:hAnsi="宋体" w:cs="宋体"/>
                <w:color w:val="auto"/>
                <w:sz w:val="24"/>
                <w:highlight w:val="none"/>
              </w:rPr>
              <w:t>≥</w:t>
            </w:r>
            <w:r>
              <w:rPr>
                <w:rFonts w:hint="eastAsia" w:ascii="宋体" w:hAnsi="宋体" w:cs="宋体"/>
                <w:color w:val="auto"/>
                <w:sz w:val="24"/>
                <w:highlight w:val="none"/>
              </w:rPr>
              <w:t>10级、涂层对基体的保护等级</w:t>
            </w:r>
            <w:r>
              <w:rPr>
                <w:rFonts w:ascii="宋体" w:hAnsi="宋体" w:cs="宋体"/>
                <w:color w:val="auto"/>
                <w:sz w:val="24"/>
                <w:highlight w:val="none"/>
              </w:rPr>
              <w:t>≥</w:t>
            </w:r>
            <w:r>
              <w:rPr>
                <w:rFonts w:hint="eastAsia" w:ascii="宋体" w:hAnsi="宋体" w:cs="宋体"/>
                <w:color w:val="auto"/>
                <w:sz w:val="24"/>
                <w:highlight w:val="none"/>
              </w:rPr>
              <w:t>10级；②外观性能：金属件-喷漆（塑）涂层（应无漏喷、锈蚀、脱色、掉色等，应光滑均匀，色泽一致，应无流挂、疙瘩、皱皮、飞漆等）；③产品表面理化性能：金属喷漆（塑）涂层-硬度、冲击强度</w:t>
            </w:r>
            <w:r>
              <w:rPr>
                <w:rFonts w:hint="eastAsia" w:ascii="宋体" w:hAnsi="宋体" w:cs="宋体"/>
                <w:bCs/>
                <w:color w:val="auto"/>
                <w:sz w:val="24"/>
                <w:highlight w:val="none"/>
              </w:rPr>
              <w:t>（冲击高度400mm，应无剥落、裂纹、皱纹）、</w:t>
            </w:r>
            <w:r>
              <w:rPr>
                <w:rFonts w:hint="eastAsia" w:ascii="宋体" w:hAnsi="宋体" w:cs="宋体"/>
                <w:color w:val="auto"/>
                <w:sz w:val="24"/>
                <w:highlight w:val="none"/>
              </w:rPr>
              <w:t>附着力达到1级、耐盐浴（试验时间100h）；④拉伸性能：抗拉强度≥420MPa，断后伸长率≥32%；⑤力学性能：规定塑性延伸强度≥265MPa；</w:t>
            </w:r>
          </w:p>
          <w:p w14:paraId="13EEFB06">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53BA15B7">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4C173C5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356CEE3E">
        <w:tblPrEx>
          <w:tblCellMar>
            <w:top w:w="0" w:type="dxa"/>
            <w:left w:w="108" w:type="dxa"/>
            <w:bottom w:w="0" w:type="dxa"/>
            <w:right w:w="108" w:type="dxa"/>
          </w:tblCellMar>
        </w:tblPrEx>
        <w:trPr>
          <w:jc w:val="center"/>
        </w:trPr>
        <w:tc>
          <w:tcPr>
            <w:tcW w:w="763" w:type="dxa"/>
            <w:tcBorders>
              <w:top w:val="single" w:color="auto" w:sz="4" w:space="0"/>
              <w:left w:val="single" w:color="auto" w:sz="4" w:space="0"/>
              <w:bottom w:val="single" w:color="auto" w:sz="4" w:space="0"/>
              <w:right w:val="single" w:color="auto" w:sz="4" w:space="0"/>
            </w:tcBorders>
            <w:vAlign w:val="center"/>
          </w:tcPr>
          <w:p w14:paraId="08CE4EE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7106" w:type="dxa"/>
            <w:tcBorders>
              <w:top w:val="single" w:color="auto" w:sz="4" w:space="0"/>
              <w:left w:val="single" w:color="auto" w:sz="4" w:space="0"/>
              <w:bottom w:val="single" w:color="auto" w:sz="4" w:space="0"/>
              <w:right w:val="single" w:color="auto" w:sz="4" w:space="0"/>
            </w:tcBorders>
            <w:vAlign w:val="center"/>
          </w:tcPr>
          <w:p w14:paraId="2AFA3F70">
            <w:pPr>
              <w:spacing w:line="360" w:lineRule="auto"/>
              <w:rPr>
                <w:rFonts w:hint="eastAsia" w:ascii="宋体" w:hAnsi="宋体" w:cs="宋体"/>
                <w:color w:val="auto"/>
                <w:sz w:val="24"/>
                <w:highlight w:val="none"/>
              </w:rPr>
            </w:pPr>
            <w:r>
              <w:rPr>
                <w:rFonts w:hint="eastAsia" w:ascii="宋体" w:hAnsi="宋体" w:cs="宋体"/>
                <w:color w:val="auto"/>
                <w:kern w:val="0"/>
                <w:sz w:val="24"/>
                <w:highlight w:val="none"/>
              </w:rPr>
              <w:t>投标人所投货物所使用的部件及原辅料“导轨（三节导轨）”,提供由第三方检测机构出具的抽样检验检测报告，检测项目内容至少包含以下项目:</w:t>
            </w:r>
            <w:r>
              <w:rPr>
                <w:rFonts w:hint="eastAsia" w:ascii="宋体" w:hAnsi="宋体" w:cs="宋体"/>
                <w:color w:val="auto"/>
                <w:sz w:val="24"/>
                <w:highlight w:val="none"/>
              </w:rPr>
              <w:t>①外观性能：金属件-冲压件应无脱层、裂缝；②表面理化性能：金属喷漆（塑）涂层-冲击强度；③过载：猛关或猛开；④耐腐蚀；⑤功能：耐久性、垂直向下静载荷、水平侧向静载荷、拉出安全性、下沉量</w:t>
            </w:r>
            <w:r>
              <w:rPr>
                <w:rFonts w:hint="eastAsia" w:ascii="宋体" w:hAnsi="宋体" w:cs="宋体"/>
                <w:color w:val="auto"/>
                <w:szCs w:val="21"/>
                <w:highlight w:val="none"/>
              </w:rPr>
              <w:t>；</w:t>
            </w:r>
          </w:p>
          <w:p w14:paraId="2A411FDD">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428635AC">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4676917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74997E83">
        <w:tblPrEx>
          <w:tblCellMar>
            <w:top w:w="0" w:type="dxa"/>
            <w:left w:w="108" w:type="dxa"/>
            <w:bottom w:w="0" w:type="dxa"/>
            <w:right w:w="108" w:type="dxa"/>
          </w:tblCellMar>
        </w:tblPrEx>
        <w:trPr>
          <w:trHeight w:val="632"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76B90EE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10</w:t>
            </w:r>
          </w:p>
        </w:tc>
        <w:tc>
          <w:tcPr>
            <w:tcW w:w="7106" w:type="dxa"/>
            <w:tcBorders>
              <w:top w:val="single" w:color="auto" w:sz="4" w:space="0"/>
              <w:left w:val="single" w:color="auto" w:sz="4" w:space="0"/>
              <w:bottom w:val="single" w:color="auto" w:sz="4" w:space="0"/>
              <w:right w:val="single" w:color="auto" w:sz="4" w:space="0"/>
            </w:tcBorders>
            <w:vAlign w:val="center"/>
          </w:tcPr>
          <w:p w14:paraId="6D8E37E3">
            <w:pPr>
              <w:spacing w:line="360" w:lineRule="auto"/>
              <w:rPr>
                <w:rFonts w:hint="eastAsia" w:ascii="宋体" w:hAnsi="宋体" w:cs="宋体"/>
                <w:color w:val="auto"/>
                <w:sz w:val="24"/>
                <w:highlight w:val="none"/>
              </w:rPr>
            </w:pPr>
            <w:r>
              <w:rPr>
                <w:rFonts w:hint="eastAsia" w:ascii="宋体" w:hAnsi="宋体" w:cs="宋体"/>
                <w:color w:val="auto"/>
                <w:kern w:val="0"/>
                <w:sz w:val="24"/>
                <w:highlight w:val="none"/>
              </w:rPr>
              <w:t>投标人所投货物所使用的部件及原辅料“塑料部件（PP塑料）”,提供由第三方检测机构出具的抽样检验检测报告，检测项目内容至少包含以下项目:</w:t>
            </w:r>
            <w:r>
              <w:rPr>
                <w:rFonts w:hint="eastAsia" w:ascii="宋体" w:hAnsi="宋体" w:cs="宋体"/>
                <w:color w:val="auto"/>
                <w:sz w:val="24"/>
                <w:highlight w:val="none"/>
              </w:rPr>
              <w:t>①抗菌性能：金黄色葡萄球菌抑菌率≥97%；②防霉性能：黄曲霉防霉等级达到0级；</w:t>
            </w:r>
          </w:p>
          <w:p w14:paraId="6AE53A00">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4FA073BF">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0843488B">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72CCCCE4">
        <w:tblPrEx>
          <w:tblCellMar>
            <w:top w:w="0" w:type="dxa"/>
            <w:left w:w="108" w:type="dxa"/>
            <w:bottom w:w="0" w:type="dxa"/>
            <w:right w:w="108" w:type="dxa"/>
          </w:tblCellMar>
        </w:tblPrEx>
        <w:trPr>
          <w:trHeight w:val="404"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4A4208D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c>
          <w:tcPr>
            <w:tcW w:w="7106" w:type="dxa"/>
            <w:tcBorders>
              <w:top w:val="single" w:color="auto" w:sz="4" w:space="0"/>
              <w:left w:val="single" w:color="auto" w:sz="4" w:space="0"/>
              <w:bottom w:val="single" w:color="auto" w:sz="4" w:space="0"/>
              <w:right w:val="single" w:color="auto" w:sz="4" w:space="0"/>
            </w:tcBorders>
            <w:vAlign w:val="center"/>
          </w:tcPr>
          <w:p w14:paraId="5701FA6F">
            <w:pPr>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投标人所投货物所使用的部件及原辅料“中密度纤维板”,提供由第三方检测机构出具的抽样检验检测报告，检测项目内容至少包含以下项目:①甲醛释放量（气候箱法）≦0.05mg/</w:t>
            </w:r>
            <w:r>
              <w:rPr>
                <w:rFonts w:hint="eastAsia" w:ascii="宋体" w:hAnsi="宋体" w:cs="宋体"/>
                <w:color w:val="auto"/>
                <w:sz w:val="24"/>
                <w:highlight w:val="none"/>
              </w:rPr>
              <w:t>m³</w:t>
            </w:r>
            <w:r>
              <w:rPr>
                <w:rFonts w:hint="eastAsia" w:ascii="宋体" w:hAnsi="宋体" w:cs="宋体"/>
                <w:color w:val="auto"/>
                <w:kern w:val="0"/>
                <w:sz w:val="24"/>
                <w:highlight w:val="none"/>
              </w:rPr>
              <w:t>； ②抗菌性能：金黄色葡萄球菌、大肠埃希氏菌、表皮葡萄球菌、白色念珠菌、变化考克氏菌的抑菌率</w:t>
            </w:r>
            <w:r>
              <w:rPr>
                <w:rFonts w:hint="eastAsia" w:ascii="宋体" w:hAnsi="宋体" w:cs="宋体"/>
                <w:color w:val="auto"/>
                <w:sz w:val="24"/>
                <w:highlight w:val="none"/>
              </w:rPr>
              <w:t>≥99%</w:t>
            </w:r>
            <w:r>
              <w:rPr>
                <w:rFonts w:hint="eastAsia" w:ascii="宋体" w:hAnsi="宋体" w:cs="宋体"/>
                <w:color w:val="auto"/>
                <w:kern w:val="0"/>
                <w:sz w:val="24"/>
                <w:highlight w:val="none"/>
              </w:rPr>
              <w:t>； ③外观质量；④表面吸收性能；</w:t>
            </w:r>
            <w:r>
              <w:rPr>
                <w:rFonts w:ascii="宋体" w:hAnsi="宋体" w:cs="宋体"/>
                <w:color w:val="auto"/>
                <w:kern w:val="0"/>
                <w:sz w:val="24"/>
                <w:highlight w:val="none"/>
              </w:rPr>
              <w:t>⑤</w:t>
            </w:r>
            <w:r>
              <w:rPr>
                <w:rFonts w:hint="eastAsia" w:ascii="宋体" w:hAnsi="宋体" w:cs="宋体"/>
                <w:color w:val="auto"/>
                <w:kern w:val="0"/>
                <w:sz w:val="24"/>
                <w:highlight w:val="none"/>
              </w:rPr>
              <w:t>燃烧性能。</w:t>
            </w:r>
          </w:p>
          <w:p w14:paraId="043930F3">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7D774C90">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5323D128">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06EEEDA8">
        <w:tblPrEx>
          <w:tblCellMar>
            <w:top w:w="0" w:type="dxa"/>
            <w:left w:w="108" w:type="dxa"/>
            <w:bottom w:w="0" w:type="dxa"/>
            <w:right w:w="108" w:type="dxa"/>
          </w:tblCellMar>
        </w:tblPrEx>
        <w:trPr>
          <w:trHeight w:val="404"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2D4702E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w:t>
            </w:r>
          </w:p>
        </w:tc>
        <w:tc>
          <w:tcPr>
            <w:tcW w:w="7106" w:type="dxa"/>
            <w:tcBorders>
              <w:top w:val="single" w:color="auto" w:sz="4" w:space="0"/>
              <w:left w:val="single" w:color="auto" w:sz="4" w:space="0"/>
              <w:bottom w:val="single" w:color="auto" w:sz="4" w:space="0"/>
              <w:right w:val="single" w:color="auto" w:sz="4" w:space="0"/>
            </w:tcBorders>
            <w:vAlign w:val="center"/>
          </w:tcPr>
          <w:p w14:paraId="2E0A8E4A">
            <w:pPr>
              <w:spacing w:line="360" w:lineRule="auto"/>
              <w:rPr>
                <w:rFonts w:hint="eastAsia" w:ascii="宋体" w:hAnsi="宋体" w:cs="宋体"/>
                <w:color w:val="auto"/>
                <w:sz w:val="24"/>
                <w:highlight w:val="none"/>
              </w:rPr>
            </w:pPr>
            <w:r>
              <w:rPr>
                <w:rFonts w:hint="eastAsia" w:ascii="宋体" w:hAnsi="宋体" w:cs="宋体"/>
                <w:color w:val="auto"/>
                <w:kern w:val="0"/>
                <w:sz w:val="24"/>
                <w:highlight w:val="none"/>
              </w:rPr>
              <w:t>投标人所投货物所使用的部件及原辅料“三合一偏心连接件”,提供由第三方检测机构出具的抽样检验检测报告，检测项目内容至少包含以下项目:①耐腐蚀：乙酸盐雾试验（ASS）法-连续喷雾120h耐腐蚀等级达到10级；②外观：金属件表面应无锈蚀、毛刺刃口、露底，应光滑平整，应无起泡、泛黄、花斑、烧焦、裂纹、划痕、磕碰伤等缺陷，检验结果符合要求；③外观性能：金属件-电镀件；④力学性能：三合一偏心连接件偏心体抗压强度</w:t>
            </w:r>
            <w:r>
              <w:rPr>
                <w:rFonts w:hint="eastAsia" w:ascii="宋体" w:hAnsi="宋体" w:cs="宋体"/>
                <w:color w:val="auto"/>
                <w:sz w:val="24"/>
                <w:highlight w:val="none"/>
              </w:rPr>
              <w:t>≥335N，三合一偏心连接件预埋螺母抗拉强度≥700N，三合一偏心连接件中连接螺杆螺纹与预埋螺母的抗拉强度≥800N。</w:t>
            </w:r>
          </w:p>
          <w:p w14:paraId="2E1293FD">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4E132C6D">
            <w:pPr>
              <w:spacing w:line="360" w:lineRule="auto"/>
              <w:rPr>
                <w:rFonts w:hint="eastAsia" w:ascii="宋体" w:hAnsi="宋体" w:cs="宋体"/>
                <w:color w:val="auto"/>
                <w:sz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2C484AD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2CE3CBD6">
        <w:tblPrEx>
          <w:tblCellMar>
            <w:top w:w="0" w:type="dxa"/>
            <w:left w:w="108" w:type="dxa"/>
            <w:bottom w:w="0" w:type="dxa"/>
            <w:right w:w="108" w:type="dxa"/>
          </w:tblCellMar>
        </w:tblPrEx>
        <w:trPr>
          <w:trHeight w:val="404"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31674DB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13</w:t>
            </w:r>
          </w:p>
        </w:tc>
        <w:tc>
          <w:tcPr>
            <w:tcW w:w="7106" w:type="dxa"/>
            <w:tcBorders>
              <w:top w:val="single" w:color="auto" w:sz="4" w:space="0"/>
              <w:left w:val="single" w:color="auto" w:sz="4" w:space="0"/>
              <w:bottom w:val="single" w:color="auto" w:sz="4" w:space="0"/>
              <w:right w:val="single" w:color="auto" w:sz="4" w:space="0"/>
            </w:tcBorders>
            <w:vAlign w:val="center"/>
          </w:tcPr>
          <w:p w14:paraId="2EDA6ABF">
            <w:pPr>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投标人所投货物所使用的部件及原辅料“床梯踏板”,提供由第三方检测机构出具的抽样检验检测报告，检测项目内容至少包含以下项目:①外观性能：金属件-冲压件、喷漆（塑）涂层、管材、焊接件，以上检验结果均符合要求；②表面理化性能：金属喷漆（塑）涂层-硬度、冲击强度、耐盐浴、附着力。</w:t>
            </w:r>
          </w:p>
          <w:p w14:paraId="1E32CEFA">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47341DE0">
            <w:pPr>
              <w:spacing w:line="360" w:lineRule="auto"/>
              <w:rPr>
                <w:rFonts w:hint="eastAsia" w:ascii="宋体" w:hAnsi="宋体" w:cs="宋体"/>
                <w:color w:val="auto"/>
                <w:kern w:val="0"/>
                <w:sz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1123C501">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70CA6085">
        <w:tblPrEx>
          <w:tblCellMar>
            <w:top w:w="0" w:type="dxa"/>
            <w:left w:w="108" w:type="dxa"/>
            <w:bottom w:w="0" w:type="dxa"/>
            <w:right w:w="108" w:type="dxa"/>
          </w:tblCellMar>
        </w:tblPrEx>
        <w:trPr>
          <w:trHeight w:val="404"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1B0E7B6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14</w:t>
            </w:r>
          </w:p>
        </w:tc>
        <w:tc>
          <w:tcPr>
            <w:tcW w:w="7106" w:type="dxa"/>
            <w:tcBorders>
              <w:top w:val="single" w:color="auto" w:sz="4" w:space="0"/>
              <w:left w:val="single" w:color="auto" w:sz="4" w:space="0"/>
              <w:bottom w:val="single" w:color="auto" w:sz="4" w:space="0"/>
              <w:right w:val="single" w:color="auto" w:sz="4" w:space="0"/>
            </w:tcBorders>
            <w:vAlign w:val="center"/>
          </w:tcPr>
          <w:p w14:paraId="7BDF24AA">
            <w:pPr>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投标人所投货物所使用的部件及原辅料“热熔胶”,提供由第三方检测机构出具的抽样检验检测报告，检测项目内容至少包含以下项目:①本体型胶粘剂有害物质限量值：总挥发性有机物</w:t>
            </w:r>
            <w:r>
              <w:rPr>
                <w:rFonts w:hint="eastAsia" w:ascii="宋体" w:hAnsi="宋体" w:cs="宋体"/>
                <w:color w:val="auto"/>
                <w:sz w:val="24"/>
                <w:highlight w:val="none"/>
              </w:rPr>
              <w:t>≤5g/L</w:t>
            </w:r>
            <w:r>
              <w:rPr>
                <w:rFonts w:hint="eastAsia" w:ascii="宋体" w:hAnsi="宋体" w:cs="宋体"/>
                <w:color w:val="auto"/>
                <w:kern w:val="0"/>
                <w:sz w:val="24"/>
                <w:highlight w:val="none"/>
              </w:rPr>
              <w:t>。</w:t>
            </w:r>
          </w:p>
          <w:p w14:paraId="50A7943B">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检验结果为合格或符合的得3分，未提供检测报告，</w:t>
            </w:r>
            <w:r>
              <w:rPr>
                <w:rFonts w:hint="eastAsia" w:ascii="宋体" w:hAnsi="宋体" w:cs="宋体"/>
                <w:color w:val="auto"/>
                <w:spacing w:val="3"/>
                <w:sz w:val="24"/>
                <w:szCs w:val="24"/>
                <w:highlight w:val="none"/>
              </w:rPr>
              <w:t>检测项目有缺漏</w:t>
            </w:r>
            <w:r>
              <w:rPr>
                <w:rFonts w:hint="eastAsia" w:ascii="宋体" w:hAnsi="宋体" w:cs="宋体"/>
                <w:color w:val="auto"/>
                <w:sz w:val="24"/>
                <w:szCs w:val="24"/>
                <w:highlight w:val="none"/>
              </w:rPr>
              <w:t>或检测内容不合格的不得分。</w:t>
            </w:r>
          </w:p>
          <w:p w14:paraId="083A688B">
            <w:pPr>
              <w:spacing w:line="360" w:lineRule="auto"/>
              <w:rPr>
                <w:rFonts w:hint="eastAsia" w:ascii="宋体" w:hAnsi="宋体" w:cs="宋体"/>
                <w:color w:val="auto"/>
                <w:kern w:val="0"/>
                <w:sz w:val="24"/>
                <w:highlight w:val="none"/>
              </w:rPr>
            </w:pPr>
            <w:r>
              <w:rPr>
                <w:rFonts w:hint="eastAsia" w:ascii="宋体" w:hAnsi="宋体" w:cs="宋体"/>
                <w:color w:val="auto"/>
                <w:sz w:val="24"/>
                <w:szCs w:val="24"/>
                <w:highlight w:val="none"/>
              </w:rPr>
              <w:t>注：需提供第三方检测机构出具的检测（检验）报告</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tc>
        <w:tc>
          <w:tcPr>
            <w:tcW w:w="750" w:type="dxa"/>
            <w:tcBorders>
              <w:top w:val="single" w:color="auto" w:sz="4" w:space="0"/>
              <w:left w:val="single" w:color="auto" w:sz="4" w:space="0"/>
              <w:bottom w:val="single" w:color="auto" w:sz="4" w:space="0"/>
              <w:right w:val="single" w:color="auto" w:sz="4" w:space="0"/>
            </w:tcBorders>
            <w:vAlign w:val="center"/>
          </w:tcPr>
          <w:p w14:paraId="66D0178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417FB832">
        <w:tblPrEx>
          <w:tblCellMar>
            <w:top w:w="0" w:type="dxa"/>
            <w:left w:w="108" w:type="dxa"/>
            <w:bottom w:w="0" w:type="dxa"/>
            <w:right w:w="108" w:type="dxa"/>
          </w:tblCellMar>
        </w:tblPrEx>
        <w:trPr>
          <w:trHeight w:val="735"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75FAB43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15</w:t>
            </w:r>
          </w:p>
        </w:tc>
        <w:tc>
          <w:tcPr>
            <w:tcW w:w="7106" w:type="dxa"/>
            <w:tcBorders>
              <w:top w:val="single" w:color="auto" w:sz="4" w:space="0"/>
              <w:left w:val="single" w:color="auto" w:sz="4" w:space="0"/>
              <w:bottom w:val="single" w:color="auto" w:sz="4" w:space="0"/>
              <w:right w:val="single" w:color="auto" w:sz="4" w:space="0"/>
            </w:tcBorders>
            <w:vAlign w:val="center"/>
          </w:tcPr>
          <w:p w14:paraId="7EBFA437">
            <w:pPr>
              <w:pStyle w:val="4"/>
              <w:rPr>
                <w:rFonts w:hint="eastAsia" w:ascii="宋体" w:hAnsi="宋体" w:cs="宋体"/>
                <w:color w:val="auto"/>
                <w:sz w:val="24"/>
                <w:szCs w:val="24"/>
                <w:highlight w:val="none"/>
              </w:rPr>
            </w:pPr>
            <w:r>
              <w:rPr>
                <w:rFonts w:hint="eastAsia" w:ascii="宋体" w:hAnsi="宋体" w:cs="宋体"/>
                <w:color w:val="auto"/>
                <w:kern w:val="0"/>
                <w:sz w:val="24"/>
                <w:highlight w:val="none"/>
              </w:rPr>
              <w:t>根据投标人具有钢制生产线和木制家具生产线情况进行评分，具有：冷弯成型机、剪板机、粉体喷涂（喷塑）生产线、焊接机器人设备、液压折弯机、全自动数控板材开料锯、左式或右式直线封边机、6排钻机、数控钻孔中心、加工中心，以上每提供一种设备得0.5分，满分3分。（生产设备需提供现场作业拍照场景图片和所购置或租赁设备发票的</w:t>
            </w:r>
            <w:r>
              <w:rPr>
                <w:rFonts w:hint="eastAsia" w:ascii="宋体" w:hAnsi="宋体" w:cs="宋体"/>
                <w:color w:val="auto"/>
                <w:kern w:val="0"/>
                <w:sz w:val="24"/>
                <w:highlight w:val="none"/>
                <w:lang w:eastAsia="zh-CN"/>
              </w:rPr>
              <w:t>复印件（含扫描件）</w:t>
            </w:r>
            <w:r>
              <w:rPr>
                <w:rFonts w:hint="eastAsia" w:ascii="宋体" w:hAnsi="宋体" w:cs="宋体"/>
                <w:color w:val="auto"/>
                <w:kern w:val="0"/>
                <w:sz w:val="24"/>
                <w:highlight w:val="none"/>
              </w:rPr>
              <w:t>，发票单位名称必须与投标人单位一致，否则不计分。）</w:t>
            </w:r>
            <w:r>
              <w:rPr>
                <w:rFonts w:hint="eastAsia" w:ascii="宋体" w:hAnsi="宋体"/>
                <w:color w:val="auto"/>
                <w:sz w:val="24"/>
                <w:highlight w:val="none"/>
              </w:rPr>
              <w:t>【租赁的，还应提供租赁合同及租赁发票】</w:t>
            </w:r>
          </w:p>
        </w:tc>
        <w:tc>
          <w:tcPr>
            <w:tcW w:w="750" w:type="dxa"/>
            <w:tcBorders>
              <w:top w:val="single" w:color="auto" w:sz="4" w:space="0"/>
              <w:left w:val="single" w:color="auto" w:sz="4" w:space="0"/>
              <w:bottom w:val="single" w:color="auto" w:sz="4" w:space="0"/>
              <w:right w:val="single" w:color="auto" w:sz="4" w:space="0"/>
            </w:tcBorders>
            <w:vAlign w:val="center"/>
          </w:tcPr>
          <w:p w14:paraId="5BF528E0">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10F5A995">
        <w:tblPrEx>
          <w:tblCellMar>
            <w:top w:w="0" w:type="dxa"/>
            <w:left w:w="108" w:type="dxa"/>
            <w:bottom w:w="0" w:type="dxa"/>
            <w:right w:w="108" w:type="dxa"/>
          </w:tblCellMar>
        </w:tblPrEx>
        <w:trPr>
          <w:trHeight w:val="1074"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2C32E957">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16</w:t>
            </w:r>
          </w:p>
        </w:tc>
        <w:tc>
          <w:tcPr>
            <w:tcW w:w="7106" w:type="dxa"/>
            <w:tcBorders>
              <w:top w:val="single" w:color="auto" w:sz="4" w:space="0"/>
              <w:left w:val="single" w:color="auto" w:sz="4" w:space="0"/>
              <w:bottom w:val="single" w:color="auto" w:sz="4" w:space="0"/>
              <w:right w:val="single" w:color="auto" w:sz="4" w:space="0"/>
            </w:tcBorders>
            <w:vAlign w:val="top"/>
          </w:tcPr>
          <w:p w14:paraId="6095482D">
            <w:pPr>
              <w:tabs>
                <w:tab w:val="left" w:pos="-1080"/>
                <w:tab w:val="left" w:pos="180"/>
                <w:tab w:val="left" w:pos="1080"/>
                <w:tab w:val="left" w:pos="2370"/>
              </w:tabs>
              <w:spacing w:line="360" w:lineRule="auto"/>
              <w:rPr>
                <w:rFonts w:hint="eastAsia" w:ascii="宋体" w:hAnsi="宋体" w:eastAsia="宋体" w:cs="宋体"/>
                <w:color w:val="auto"/>
                <w:sz w:val="24"/>
                <w:szCs w:val="24"/>
                <w:highlight w:val="none"/>
                <w:lang w:eastAsia="zh-CN"/>
              </w:rPr>
            </w:pPr>
            <w:r>
              <w:rPr>
                <w:rFonts w:hint="eastAsia" w:ascii="宋体" w:hAnsi="宋体" w:cs="宋体"/>
                <w:color w:val="auto"/>
                <w:kern w:val="0"/>
                <w:sz w:val="24"/>
                <w:highlight w:val="none"/>
              </w:rPr>
              <w:t>根据投标人提供的投标样品序号4、5、6：“立柱”、“长横梁”、“D型管”、“爬梯立柱及脚套”和“踏板”小样的材质、规格尺寸、工艺细节情况由评委评审：（1）材质用料质地均匀、手感细腻舒适，无凹陷、压痕等瑕疵、无变形、无剥落、无异味的，且规格尺寸满足招标文件要求，得2分； （2）材质用料质地均匀性、手感细腻舒适度情形较好的；规格尺寸满足招标文件要求；凹陷压痕等瑕疵程度与不变形程度（无剥落；无异味）情况较好的得1.75分； （3）材质用料质地均匀性、手感细腻舒适度、异味情形一般的；规格尺寸满足招标文件要求；凹陷压痕等瑕疵程度与不变形程度（无剥落；无异味）情况一般的得1.5分。（注：所提供的样品不满足样品制作要求的，本项不得分）</w:t>
            </w:r>
          </w:p>
        </w:tc>
        <w:tc>
          <w:tcPr>
            <w:tcW w:w="750" w:type="dxa"/>
            <w:tcBorders>
              <w:top w:val="single" w:color="auto" w:sz="4" w:space="0"/>
              <w:left w:val="single" w:color="auto" w:sz="4" w:space="0"/>
              <w:bottom w:val="single" w:color="auto" w:sz="4" w:space="0"/>
              <w:right w:val="single" w:color="auto" w:sz="4" w:space="0"/>
            </w:tcBorders>
            <w:vAlign w:val="center"/>
          </w:tcPr>
          <w:p w14:paraId="058EDEA7">
            <w:pPr>
              <w:tabs>
                <w:tab w:val="left" w:pos="-1080"/>
                <w:tab w:val="left" w:pos="180"/>
                <w:tab w:val="left" w:pos="1080"/>
                <w:tab w:val="left" w:pos="2370"/>
              </w:tabs>
              <w:spacing w:line="360" w:lineRule="auto"/>
              <w:jc w:val="center"/>
              <w:rPr>
                <w:rFonts w:hint="eastAsia" w:ascii="宋体" w:hAnsi="宋体" w:cs="宋体"/>
                <w:color w:val="auto"/>
                <w:sz w:val="24"/>
                <w:szCs w:val="24"/>
                <w:highlight w:val="none"/>
              </w:rPr>
            </w:pPr>
            <w:r>
              <w:rPr>
                <w:rFonts w:hint="eastAsia" w:ascii="宋体" w:hAnsi="宋体" w:cs="宋体"/>
                <w:bCs/>
                <w:color w:val="auto"/>
                <w:sz w:val="24"/>
                <w:highlight w:val="none"/>
              </w:rPr>
              <w:t>2</w:t>
            </w:r>
          </w:p>
        </w:tc>
      </w:tr>
      <w:tr w14:paraId="0DBEF8D8">
        <w:tblPrEx>
          <w:tblCellMar>
            <w:top w:w="0" w:type="dxa"/>
            <w:left w:w="108" w:type="dxa"/>
            <w:bottom w:w="0" w:type="dxa"/>
            <w:right w:w="108" w:type="dxa"/>
          </w:tblCellMar>
        </w:tblPrEx>
        <w:trPr>
          <w:trHeight w:val="950"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7ADEC40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17</w:t>
            </w:r>
          </w:p>
        </w:tc>
        <w:tc>
          <w:tcPr>
            <w:tcW w:w="7106" w:type="dxa"/>
            <w:tcBorders>
              <w:top w:val="single" w:color="auto" w:sz="4" w:space="0"/>
              <w:left w:val="single" w:color="auto" w:sz="4" w:space="0"/>
              <w:bottom w:val="single" w:color="auto" w:sz="4" w:space="0"/>
              <w:right w:val="single" w:color="auto" w:sz="4" w:space="0"/>
            </w:tcBorders>
            <w:vAlign w:val="top"/>
          </w:tcPr>
          <w:p w14:paraId="48632E77">
            <w:pPr>
              <w:tabs>
                <w:tab w:val="left" w:pos="-1080"/>
                <w:tab w:val="left" w:pos="180"/>
                <w:tab w:val="left" w:pos="1080"/>
                <w:tab w:val="left" w:pos="2370"/>
              </w:tabs>
              <w:spacing w:line="360" w:lineRule="auto"/>
              <w:rPr>
                <w:rFonts w:hint="eastAsia" w:ascii="宋体" w:hAnsi="宋体" w:eastAsia="宋体" w:cs="宋体"/>
                <w:color w:val="auto"/>
                <w:sz w:val="24"/>
                <w:szCs w:val="24"/>
                <w:highlight w:val="none"/>
                <w:lang w:eastAsia="zh-CN"/>
              </w:rPr>
            </w:pPr>
            <w:r>
              <w:rPr>
                <w:rFonts w:hint="eastAsia" w:ascii="宋体" w:hAnsi="宋体" w:cs="宋体"/>
                <w:color w:val="auto"/>
                <w:kern w:val="0"/>
                <w:sz w:val="24"/>
                <w:highlight w:val="none"/>
              </w:rPr>
              <w:t>根据投标人提供的投标样品序号3“边档头中空吹塑板”小样的材质、规格尺寸、工艺细节情况由评委评审：（1）材质用料质地均匀、手感细腻舒适，无凹陷、压痕等瑕疵、无变形、无剥落、无异味的，且规格尺寸满足招标文件要求，得2分； （2）材质用料质地均匀性、手感细腻舒适度情形较好的；规格尺寸满足招标文件要求；凹陷压痕等瑕疵程度与不变形程度（无剥落；无异味）情况较好的得1.75分； （3）材质用料质地均匀性、手感细腻舒适度、异味情形一般的；规格尺寸满足招标文件要求；凹陷压痕等瑕疵程度与不变形程度（无剥落；无异味）情况一般的得1.5分。（注：所提供的样品不满足样品制作要求的，本项不得分）</w:t>
            </w:r>
          </w:p>
        </w:tc>
        <w:tc>
          <w:tcPr>
            <w:tcW w:w="750" w:type="dxa"/>
            <w:tcBorders>
              <w:top w:val="single" w:color="auto" w:sz="4" w:space="0"/>
              <w:left w:val="single" w:color="auto" w:sz="4" w:space="0"/>
              <w:bottom w:val="single" w:color="auto" w:sz="4" w:space="0"/>
              <w:right w:val="single" w:color="auto" w:sz="4" w:space="0"/>
            </w:tcBorders>
            <w:vAlign w:val="center"/>
          </w:tcPr>
          <w:p w14:paraId="29512E75">
            <w:pPr>
              <w:tabs>
                <w:tab w:val="left" w:pos="-1080"/>
                <w:tab w:val="left" w:pos="180"/>
                <w:tab w:val="left" w:pos="1080"/>
                <w:tab w:val="left" w:pos="2370"/>
              </w:tabs>
              <w:spacing w:line="360" w:lineRule="auto"/>
              <w:jc w:val="center"/>
              <w:rPr>
                <w:rFonts w:hint="eastAsia" w:ascii="宋体" w:hAnsi="宋体" w:cs="宋体"/>
                <w:color w:val="auto"/>
                <w:sz w:val="24"/>
                <w:szCs w:val="24"/>
                <w:highlight w:val="none"/>
              </w:rPr>
            </w:pPr>
            <w:r>
              <w:rPr>
                <w:rFonts w:hint="eastAsia" w:ascii="宋体" w:hAnsi="宋体" w:cs="宋体"/>
                <w:bCs/>
                <w:color w:val="auto"/>
                <w:sz w:val="24"/>
                <w:highlight w:val="none"/>
              </w:rPr>
              <w:t>2</w:t>
            </w:r>
          </w:p>
        </w:tc>
      </w:tr>
      <w:tr w14:paraId="5F685862">
        <w:tblPrEx>
          <w:tblCellMar>
            <w:top w:w="0" w:type="dxa"/>
            <w:left w:w="108" w:type="dxa"/>
            <w:bottom w:w="0" w:type="dxa"/>
            <w:right w:w="108" w:type="dxa"/>
          </w:tblCellMar>
        </w:tblPrEx>
        <w:trPr>
          <w:trHeight w:val="1064"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5152ACC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18</w:t>
            </w:r>
          </w:p>
        </w:tc>
        <w:tc>
          <w:tcPr>
            <w:tcW w:w="7106" w:type="dxa"/>
            <w:tcBorders>
              <w:top w:val="single" w:color="auto" w:sz="4" w:space="0"/>
              <w:left w:val="single" w:color="auto" w:sz="4" w:space="0"/>
              <w:bottom w:val="single" w:color="auto" w:sz="4" w:space="0"/>
              <w:right w:val="single" w:color="auto" w:sz="4" w:space="0"/>
            </w:tcBorders>
            <w:vAlign w:val="center"/>
          </w:tcPr>
          <w:p w14:paraId="6AE34F08">
            <w:pPr>
              <w:tabs>
                <w:tab w:val="left" w:pos="-1080"/>
                <w:tab w:val="left" w:pos="180"/>
                <w:tab w:val="left" w:pos="1080"/>
                <w:tab w:val="left" w:pos="2370"/>
              </w:tabs>
              <w:spacing w:line="360" w:lineRule="auto"/>
              <w:jc w:val="left"/>
              <w:rPr>
                <w:rFonts w:hint="eastAsia" w:ascii="宋体" w:hAnsi="宋体" w:eastAsia="宋体" w:cs="宋体"/>
                <w:color w:val="auto"/>
                <w:sz w:val="24"/>
                <w:szCs w:val="24"/>
                <w:highlight w:val="none"/>
                <w:lang w:eastAsia="zh-CN"/>
              </w:rPr>
            </w:pPr>
            <w:r>
              <w:rPr>
                <w:rFonts w:hint="eastAsia" w:ascii="宋体" w:hAnsi="宋体" w:cs="宋体"/>
                <w:color w:val="auto"/>
                <w:kern w:val="0"/>
                <w:sz w:val="24"/>
                <w:highlight w:val="none"/>
              </w:rPr>
              <w:t>根据投标人提供的投标样品序号7“注塑封边桌面”小样的材质、规格尺寸、工艺细节情况由评委评审：（1）材质用料质地均匀、手感细腻舒适，无凹陷、压痕等瑕疵、无变形、无剥落、无异味的，且规格尺寸满足招标文件要求，得2分； （2）材质用料质地均匀性、手感细腻舒适度情形较好的；规格尺寸满足招标文件要求；凹陷压痕等瑕疵程度与不变形程度（无剥落；无异味）情况较好的得1.75分； （3）材质用料质地均匀性、手感细腻舒适度、异味情形一般的；规格尺寸满足招标文件要求；凹陷压痕等瑕疵程度与不变形程度（无剥落；无异味）情况一般的得1.5分。（注：所提供的样品不满足样品制作要求的，本项不得分）</w:t>
            </w:r>
          </w:p>
        </w:tc>
        <w:tc>
          <w:tcPr>
            <w:tcW w:w="750" w:type="dxa"/>
            <w:tcBorders>
              <w:top w:val="single" w:color="auto" w:sz="4" w:space="0"/>
              <w:left w:val="single" w:color="auto" w:sz="4" w:space="0"/>
              <w:bottom w:val="single" w:color="auto" w:sz="4" w:space="0"/>
              <w:right w:val="single" w:color="auto" w:sz="4" w:space="0"/>
            </w:tcBorders>
            <w:vAlign w:val="center"/>
          </w:tcPr>
          <w:p w14:paraId="4AB7D52B">
            <w:pPr>
              <w:tabs>
                <w:tab w:val="left" w:pos="-1080"/>
                <w:tab w:val="left" w:pos="180"/>
                <w:tab w:val="left" w:pos="1080"/>
                <w:tab w:val="left" w:pos="2370"/>
              </w:tabs>
              <w:spacing w:line="360" w:lineRule="auto"/>
              <w:jc w:val="center"/>
              <w:rPr>
                <w:rFonts w:hint="eastAsia" w:ascii="宋体" w:hAnsi="宋体" w:cs="宋体"/>
                <w:color w:val="auto"/>
                <w:sz w:val="24"/>
                <w:szCs w:val="24"/>
                <w:highlight w:val="none"/>
              </w:rPr>
            </w:pPr>
            <w:r>
              <w:rPr>
                <w:rFonts w:hint="eastAsia" w:ascii="宋体" w:hAnsi="宋体" w:cs="宋体"/>
                <w:bCs/>
                <w:color w:val="auto"/>
                <w:sz w:val="24"/>
                <w:highlight w:val="none"/>
              </w:rPr>
              <w:t>2</w:t>
            </w:r>
          </w:p>
        </w:tc>
      </w:tr>
      <w:tr w14:paraId="3F232E2E">
        <w:tblPrEx>
          <w:tblCellMar>
            <w:top w:w="0" w:type="dxa"/>
            <w:left w:w="108" w:type="dxa"/>
            <w:bottom w:w="0" w:type="dxa"/>
            <w:right w:w="108" w:type="dxa"/>
          </w:tblCellMar>
        </w:tblPrEx>
        <w:trPr>
          <w:trHeight w:val="90"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6F09233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19</w:t>
            </w:r>
          </w:p>
        </w:tc>
        <w:tc>
          <w:tcPr>
            <w:tcW w:w="7106" w:type="dxa"/>
            <w:tcBorders>
              <w:top w:val="single" w:color="auto" w:sz="4" w:space="0"/>
              <w:left w:val="single" w:color="auto" w:sz="4" w:space="0"/>
              <w:bottom w:val="single" w:color="auto" w:sz="4" w:space="0"/>
              <w:right w:val="single" w:color="auto" w:sz="4" w:space="0"/>
            </w:tcBorders>
            <w:vAlign w:val="center"/>
          </w:tcPr>
          <w:p w14:paraId="145BE97F">
            <w:pPr>
              <w:tabs>
                <w:tab w:val="left" w:pos="-1080"/>
                <w:tab w:val="left" w:pos="180"/>
                <w:tab w:val="left" w:pos="1080"/>
                <w:tab w:val="left" w:pos="2370"/>
              </w:tabs>
              <w:spacing w:line="360" w:lineRule="auto"/>
              <w:rPr>
                <w:rFonts w:hint="eastAsia" w:ascii="宋体" w:hAnsi="宋体" w:eastAsia="宋体" w:cs="宋体"/>
                <w:color w:val="auto"/>
                <w:sz w:val="24"/>
                <w:szCs w:val="24"/>
                <w:highlight w:val="none"/>
                <w:lang w:eastAsia="zh-CN"/>
              </w:rPr>
            </w:pPr>
            <w:r>
              <w:rPr>
                <w:rFonts w:hint="eastAsia" w:ascii="宋体" w:hAnsi="宋体" w:cs="宋体"/>
                <w:color w:val="auto"/>
                <w:kern w:val="0"/>
                <w:sz w:val="24"/>
                <w:highlight w:val="none"/>
              </w:rPr>
              <w:t>根据投标人提供的投标样品序号8、9、10：“一字注塑包边锁片”、“铝合金圆形荧光拉手”和“衣杆两侧配固定架和衣杆盖”小样的材质、规格尺寸、工艺细节情况由评委评审：（1）材质用料质地均匀、手感细腻舒适，无凹陷、压痕等瑕疵、无变形、无剥落、无异味的，且规格尺寸满足招标文件要求，得2分； （2）材质用料质地均匀性、手感细腻舒适度情形较好的；规格尺寸满足招标文件要求；凹陷压痕等瑕疵程度与不变形程度（无剥落；无异味）情况较好的得1.75分； （3）材质用料质地均匀性、手感细腻舒适度、异味情形一般的；规格尺寸满足招标文件要求；凹陷压痕等瑕疵程度与不变形程度（无剥落；无异味）情况一般的得1.5分。（注：所提供的样品不满足样品制作要求的，本项不得分）</w:t>
            </w:r>
          </w:p>
        </w:tc>
        <w:tc>
          <w:tcPr>
            <w:tcW w:w="750" w:type="dxa"/>
            <w:tcBorders>
              <w:top w:val="single" w:color="auto" w:sz="4" w:space="0"/>
              <w:left w:val="single" w:color="auto" w:sz="4" w:space="0"/>
              <w:bottom w:val="single" w:color="auto" w:sz="4" w:space="0"/>
              <w:right w:val="single" w:color="auto" w:sz="4" w:space="0"/>
            </w:tcBorders>
            <w:vAlign w:val="center"/>
          </w:tcPr>
          <w:p w14:paraId="50BF8B1F">
            <w:pPr>
              <w:tabs>
                <w:tab w:val="left" w:pos="-1080"/>
                <w:tab w:val="left" w:pos="180"/>
                <w:tab w:val="left" w:pos="1080"/>
                <w:tab w:val="left" w:pos="2370"/>
              </w:tabs>
              <w:spacing w:line="360" w:lineRule="auto"/>
              <w:jc w:val="center"/>
              <w:rPr>
                <w:rFonts w:hint="eastAsia" w:ascii="宋体" w:hAnsi="宋体" w:cs="宋体"/>
                <w:color w:val="auto"/>
                <w:sz w:val="24"/>
                <w:szCs w:val="24"/>
                <w:highlight w:val="none"/>
              </w:rPr>
            </w:pPr>
            <w:r>
              <w:rPr>
                <w:rFonts w:hint="eastAsia" w:ascii="宋体" w:hAnsi="宋体" w:cs="宋体"/>
                <w:bCs/>
                <w:color w:val="auto"/>
                <w:sz w:val="24"/>
                <w:highlight w:val="none"/>
              </w:rPr>
              <w:t>2</w:t>
            </w:r>
          </w:p>
        </w:tc>
      </w:tr>
      <w:tr w14:paraId="1AD966AD">
        <w:tblPrEx>
          <w:tblCellMar>
            <w:top w:w="0" w:type="dxa"/>
            <w:left w:w="108" w:type="dxa"/>
            <w:bottom w:w="0" w:type="dxa"/>
            <w:right w:w="108" w:type="dxa"/>
          </w:tblCellMar>
        </w:tblPrEx>
        <w:trPr>
          <w:trHeight w:val="1338"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4E3EAE3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20</w:t>
            </w:r>
          </w:p>
        </w:tc>
        <w:tc>
          <w:tcPr>
            <w:tcW w:w="7106" w:type="dxa"/>
            <w:tcBorders>
              <w:top w:val="single" w:color="auto" w:sz="4" w:space="0"/>
              <w:left w:val="single" w:color="auto" w:sz="4" w:space="0"/>
              <w:bottom w:val="single" w:color="auto" w:sz="4" w:space="0"/>
              <w:right w:val="single" w:color="auto" w:sz="4" w:space="0"/>
            </w:tcBorders>
            <w:vAlign w:val="center"/>
          </w:tcPr>
          <w:p w14:paraId="4FE9BB47">
            <w:pPr>
              <w:tabs>
                <w:tab w:val="left" w:pos="-1080"/>
                <w:tab w:val="left" w:pos="180"/>
                <w:tab w:val="left" w:pos="1080"/>
                <w:tab w:val="left" w:pos="2370"/>
              </w:tabs>
              <w:spacing w:line="360" w:lineRule="auto"/>
              <w:jc w:val="left"/>
              <w:rPr>
                <w:rFonts w:hint="eastAsia" w:ascii="宋体" w:hAnsi="宋体" w:eastAsia="宋体" w:cs="宋体"/>
                <w:color w:val="auto"/>
                <w:sz w:val="24"/>
                <w:szCs w:val="24"/>
                <w:highlight w:val="none"/>
                <w:lang w:eastAsia="zh-CN"/>
              </w:rPr>
            </w:pPr>
            <w:r>
              <w:rPr>
                <w:rFonts w:hint="eastAsia" w:ascii="宋体" w:hAnsi="宋体" w:cs="宋体"/>
                <w:color w:val="auto"/>
                <w:kern w:val="0"/>
                <w:sz w:val="24"/>
                <w:highlight w:val="none"/>
              </w:rPr>
              <w:t>根据投标人提供的投标样品序号11“公寓椅”的材质、规格尺寸、工艺细节情况由评委评审：（1）材质用料质地均匀、手感细腻舒适，无凹陷、压痕等瑕疵、无变形、无剥落、无异味的，且规格尺寸满足招标文件要求，得2分； （2）材质用料质地均匀性、手感细腻舒适度情形较好的；规格尺寸满足招标文件要求；凹陷压痕等瑕疵程度与不变形程度（无剥落；无异味）情况较好的得1.75分； （3）材质用料质地均匀性、手感细腻舒适度、异味情形一般的；规格尺寸满足招标文件要求；凹陷压痕等瑕疵程度与不变形程度（无剥落；无异味）情况一般的得1.5分。（注：所提供的样品不满足样品制作要求的，本项不得分）</w:t>
            </w:r>
          </w:p>
        </w:tc>
        <w:tc>
          <w:tcPr>
            <w:tcW w:w="750" w:type="dxa"/>
            <w:tcBorders>
              <w:top w:val="single" w:color="auto" w:sz="4" w:space="0"/>
              <w:left w:val="single" w:color="auto" w:sz="4" w:space="0"/>
              <w:bottom w:val="single" w:color="auto" w:sz="4" w:space="0"/>
              <w:right w:val="single" w:color="auto" w:sz="4" w:space="0"/>
            </w:tcBorders>
            <w:vAlign w:val="center"/>
          </w:tcPr>
          <w:p w14:paraId="1F7A4DF8">
            <w:pPr>
              <w:tabs>
                <w:tab w:val="left" w:pos="-1080"/>
                <w:tab w:val="left" w:pos="180"/>
                <w:tab w:val="left" w:pos="1080"/>
                <w:tab w:val="left" w:pos="2370"/>
              </w:tabs>
              <w:spacing w:line="360" w:lineRule="auto"/>
              <w:jc w:val="center"/>
              <w:rPr>
                <w:rFonts w:hint="eastAsia" w:ascii="宋体" w:hAnsi="宋体" w:cs="宋体"/>
                <w:color w:val="auto"/>
                <w:sz w:val="24"/>
                <w:szCs w:val="24"/>
                <w:highlight w:val="none"/>
              </w:rPr>
            </w:pPr>
            <w:r>
              <w:rPr>
                <w:rFonts w:hint="eastAsia" w:ascii="宋体" w:hAnsi="宋体" w:cs="宋体"/>
                <w:bCs/>
                <w:color w:val="auto"/>
                <w:sz w:val="24"/>
                <w:highlight w:val="none"/>
              </w:rPr>
              <w:t>2</w:t>
            </w:r>
          </w:p>
        </w:tc>
      </w:tr>
    </w:tbl>
    <w:p w14:paraId="4785288D">
      <w:pPr>
        <w:rPr>
          <w:rFonts w:hint="eastAsia" w:ascii="宋体" w:hAnsi="宋体" w:cs="宋体"/>
          <w:color w:val="auto"/>
          <w:szCs w:val="21"/>
          <w:highlight w:val="none"/>
        </w:rPr>
      </w:pPr>
    </w:p>
    <w:p w14:paraId="6426439E">
      <w:pPr>
        <w:jc w:val="left"/>
        <w:rPr>
          <w:rFonts w:hint="eastAsia" w:ascii="宋体" w:hAnsi="宋体" w:cs="宋体"/>
          <w:b/>
          <w:bCs/>
          <w:color w:val="auto"/>
          <w:szCs w:val="21"/>
          <w:highlight w:val="none"/>
        </w:rPr>
      </w:pPr>
      <w:r>
        <w:rPr>
          <w:rFonts w:hint="eastAsia" w:ascii="宋体" w:hAnsi="宋体" w:cs="宋体"/>
          <w:b/>
          <w:bCs/>
          <w:color w:val="auto"/>
          <w:szCs w:val="21"/>
          <w:highlight w:val="none"/>
        </w:rPr>
        <w:t>（二）商务评分(F2)：按15分评分法，商务评分考虑下列因素：</w:t>
      </w:r>
    </w:p>
    <w:tbl>
      <w:tblPr>
        <w:tblStyle w:val="13"/>
        <w:tblW w:w="8619" w:type="dxa"/>
        <w:jc w:val="center"/>
        <w:tblLayout w:type="fixed"/>
        <w:tblCellMar>
          <w:top w:w="0" w:type="dxa"/>
          <w:left w:w="108" w:type="dxa"/>
          <w:bottom w:w="0" w:type="dxa"/>
          <w:right w:w="108" w:type="dxa"/>
        </w:tblCellMar>
      </w:tblPr>
      <w:tblGrid>
        <w:gridCol w:w="762"/>
        <w:gridCol w:w="7096"/>
        <w:gridCol w:w="761"/>
      </w:tblGrid>
      <w:tr w14:paraId="0FBE0CF0">
        <w:tblPrEx>
          <w:tblCellMar>
            <w:top w:w="0" w:type="dxa"/>
            <w:left w:w="108" w:type="dxa"/>
            <w:bottom w:w="0" w:type="dxa"/>
            <w:right w:w="108" w:type="dxa"/>
          </w:tblCellMar>
        </w:tblPrEx>
        <w:trPr>
          <w:trHeight w:val="865" w:hRule="atLeast"/>
          <w:jc w:val="center"/>
        </w:trPr>
        <w:tc>
          <w:tcPr>
            <w:tcW w:w="762" w:type="dxa"/>
            <w:tcBorders>
              <w:top w:val="single" w:color="auto" w:sz="4" w:space="0"/>
              <w:left w:val="single" w:color="auto" w:sz="4" w:space="0"/>
              <w:bottom w:val="single" w:color="auto" w:sz="4" w:space="0"/>
              <w:right w:val="single" w:color="auto" w:sz="4" w:space="0"/>
            </w:tcBorders>
            <w:vAlign w:val="center"/>
          </w:tcPr>
          <w:p w14:paraId="67C29F28">
            <w:pPr>
              <w:jc w:val="center"/>
              <w:rPr>
                <w:rFonts w:hint="eastAsia" w:ascii="宋体" w:hAnsi="宋体" w:cs="宋体"/>
                <w:b/>
                <w:bCs/>
                <w:color w:val="auto"/>
                <w:szCs w:val="21"/>
                <w:highlight w:val="none"/>
              </w:rPr>
            </w:pPr>
            <w:r>
              <w:rPr>
                <w:rFonts w:hint="eastAsia" w:ascii="宋体" w:hAnsi="宋体" w:cs="宋体"/>
                <w:b/>
                <w:bCs/>
                <w:color w:val="auto"/>
                <w:szCs w:val="21"/>
                <w:highlight w:val="none"/>
              </w:rPr>
              <w:t>序号</w:t>
            </w:r>
          </w:p>
        </w:tc>
        <w:tc>
          <w:tcPr>
            <w:tcW w:w="7096" w:type="dxa"/>
            <w:tcBorders>
              <w:top w:val="single" w:color="auto" w:sz="4" w:space="0"/>
              <w:left w:val="single" w:color="auto" w:sz="4" w:space="0"/>
              <w:bottom w:val="single" w:color="auto" w:sz="4" w:space="0"/>
              <w:right w:val="single" w:color="auto" w:sz="4" w:space="0"/>
            </w:tcBorders>
            <w:vAlign w:val="center"/>
          </w:tcPr>
          <w:p w14:paraId="4603F663">
            <w:pPr>
              <w:jc w:val="center"/>
              <w:rPr>
                <w:rFonts w:hint="eastAsia" w:ascii="宋体" w:hAnsi="宋体" w:cs="宋体"/>
                <w:b/>
                <w:bCs/>
                <w:color w:val="auto"/>
                <w:szCs w:val="21"/>
                <w:highlight w:val="none"/>
              </w:rPr>
            </w:pPr>
            <w:r>
              <w:rPr>
                <w:rFonts w:hint="eastAsia" w:ascii="宋体" w:hAnsi="宋体" w:cs="宋体"/>
                <w:b/>
                <w:bCs/>
                <w:color w:val="auto"/>
                <w:szCs w:val="21"/>
                <w:highlight w:val="none"/>
              </w:rPr>
              <w:t>细则内容</w:t>
            </w:r>
          </w:p>
        </w:tc>
        <w:tc>
          <w:tcPr>
            <w:tcW w:w="761" w:type="dxa"/>
            <w:tcBorders>
              <w:top w:val="single" w:color="auto" w:sz="4" w:space="0"/>
              <w:left w:val="single" w:color="auto" w:sz="4" w:space="0"/>
              <w:bottom w:val="single" w:color="auto" w:sz="4" w:space="0"/>
              <w:right w:val="single" w:color="auto" w:sz="4" w:space="0"/>
            </w:tcBorders>
            <w:vAlign w:val="center"/>
          </w:tcPr>
          <w:p w14:paraId="24DBEE71">
            <w:pPr>
              <w:jc w:val="center"/>
              <w:rPr>
                <w:rFonts w:hint="eastAsia" w:ascii="宋体" w:hAnsi="宋体" w:cs="宋体"/>
                <w:b/>
                <w:bCs/>
                <w:color w:val="auto"/>
                <w:szCs w:val="21"/>
                <w:highlight w:val="none"/>
              </w:rPr>
            </w:pPr>
            <w:r>
              <w:rPr>
                <w:rFonts w:hint="eastAsia" w:ascii="宋体" w:hAnsi="宋体" w:cs="宋体"/>
                <w:b/>
                <w:bCs/>
                <w:color w:val="auto"/>
                <w:szCs w:val="21"/>
                <w:highlight w:val="none"/>
              </w:rPr>
              <w:t>满分</w:t>
            </w:r>
          </w:p>
          <w:p w14:paraId="6C19D28E">
            <w:pPr>
              <w:jc w:val="center"/>
              <w:rPr>
                <w:rFonts w:hint="eastAsia" w:ascii="宋体" w:hAnsi="宋体" w:cs="宋体"/>
                <w:b/>
                <w:bCs/>
                <w:color w:val="auto"/>
                <w:szCs w:val="21"/>
                <w:highlight w:val="none"/>
              </w:rPr>
            </w:pPr>
            <w:r>
              <w:rPr>
                <w:rFonts w:hint="eastAsia" w:ascii="宋体" w:hAnsi="宋体" w:cs="宋体"/>
                <w:b/>
                <w:bCs/>
                <w:color w:val="auto"/>
                <w:szCs w:val="21"/>
                <w:highlight w:val="none"/>
              </w:rPr>
              <w:t>分值</w:t>
            </w:r>
          </w:p>
        </w:tc>
      </w:tr>
      <w:tr w14:paraId="47F9C013">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vAlign w:val="center"/>
          </w:tcPr>
          <w:p w14:paraId="4D72897B">
            <w:pPr>
              <w:spacing w:line="360" w:lineRule="auto"/>
              <w:jc w:val="center"/>
              <w:rPr>
                <w:rFonts w:hint="eastAsia" w:ascii="宋体" w:hAnsi="宋体" w:cs="宋体"/>
                <w:color w:val="auto"/>
                <w:szCs w:val="21"/>
                <w:highlight w:val="none"/>
              </w:rPr>
            </w:pPr>
            <w:r>
              <w:rPr>
                <w:rFonts w:hint="eastAsia" w:ascii="宋体" w:hAnsi="宋体" w:cs="宋体"/>
                <w:bCs/>
                <w:color w:val="auto"/>
                <w:szCs w:val="21"/>
                <w:highlight w:val="none"/>
              </w:rPr>
              <w:t>1</w:t>
            </w:r>
          </w:p>
        </w:tc>
        <w:tc>
          <w:tcPr>
            <w:tcW w:w="7096" w:type="dxa"/>
            <w:tcBorders>
              <w:top w:val="single" w:color="auto" w:sz="4" w:space="0"/>
              <w:left w:val="single" w:color="auto" w:sz="4" w:space="0"/>
              <w:bottom w:val="single" w:color="auto" w:sz="4" w:space="0"/>
              <w:right w:val="single" w:color="auto" w:sz="4" w:space="0"/>
            </w:tcBorders>
            <w:vAlign w:val="center"/>
          </w:tcPr>
          <w:p w14:paraId="403C493A">
            <w:pPr>
              <w:spacing w:line="360" w:lineRule="auto"/>
              <w:rPr>
                <w:rFonts w:hint="default" w:ascii="宋体" w:hAnsi="宋体" w:cs="宋体"/>
                <w:color w:val="auto"/>
                <w:spacing w:val="0"/>
                <w:sz w:val="24"/>
                <w:szCs w:val="22"/>
                <w:highlight w:val="none"/>
              </w:rPr>
            </w:pPr>
            <w:r>
              <w:rPr>
                <w:rFonts w:hint="eastAsia" w:ascii="宋体" w:hAnsi="宋体" w:cs="宋体"/>
                <w:color w:val="auto"/>
                <w:sz w:val="24"/>
                <w:highlight w:val="none"/>
              </w:rPr>
              <w:t>投标人具</w:t>
            </w:r>
            <w:r>
              <w:rPr>
                <w:rFonts w:hint="eastAsia" w:ascii="宋体" w:hAnsi="宋体" w:cs="宋体"/>
                <w:color w:val="auto"/>
                <w:kern w:val="0"/>
                <w:sz w:val="24"/>
                <w:highlight w:val="none"/>
              </w:rPr>
              <w:t>有有效期内的</w:t>
            </w:r>
            <w:r>
              <w:rPr>
                <w:rFonts w:hint="eastAsia" w:ascii="宋体" w:hAnsi="宋体" w:cs="宋体"/>
                <w:color w:val="auto"/>
                <w:sz w:val="24"/>
                <w:highlight w:val="none"/>
              </w:rPr>
              <w:t>质量管理体系认证、环境管理体系认证、职业健康安全管理体系认证，每具有一份认证证书得</w:t>
            </w:r>
            <w:r>
              <w:rPr>
                <w:rFonts w:hint="default" w:ascii="宋体" w:hAnsi="宋体" w:cs="宋体"/>
                <w:color w:val="auto"/>
                <w:sz w:val="24"/>
                <w:highlight w:val="none"/>
                <w:lang w:val="en-US" w:eastAsia="zh-CN"/>
              </w:rPr>
              <w:t>1</w:t>
            </w:r>
            <w:r>
              <w:rPr>
                <w:rFonts w:hint="eastAsia" w:ascii="宋体" w:hAnsi="宋体" w:cs="宋体"/>
                <w:color w:val="auto"/>
                <w:sz w:val="24"/>
                <w:highlight w:val="none"/>
              </w:rPr>
              <w:t>分，总分</w:t>
            </w:r>
            <w:r>
              <w:rPr>
                <w:rFonts w:hint="default" w:ascii="宋体" w:hAnsi="宋体" w:cs="宋体"/>
                <w:color w:val="auto"/>
                <w:sz w:val="24"/>
                <w:highlight w:val="none"/>
                <w:lang w:val="en-US" w:eastAsia="zh-CN"/>
              </w:rPr>
              <w:t>3</w:t>
            </w:r>
            <w:r>
              <w:rPr>
                <w:rFonts w:hint="eastAsia" w:ascii="宋体" w:hAnsi="宋体" w:cs="宋体"/>
                <w:color w:val="auto"/>
                <w:sz w:val="24"/>
                <w:highlight w:val="none"/>
              </w:rPr>
              <w:t>分；</w:t>
            </w:r>
            <w:r>
              <w:rPr>
                <w:rFonts w:ascii="宋体" w:hAnsi="宋体" w:cs="宋体"/>
                <w:color w:val="auto"/>
                <w:sz w:val="24"/>
                <w:highlight w:val="none"/>
              </w:rPr>
              <w:t>投标人须提供有效证书</w:t>
            </w:r>
            <w:r>
              <w:rPr>
                <w:rFonts w:hint="eastAsia" w:ascii="宋体" w:hAnsi="宋体" w:cs="宋体"/>
                <w:color w:val="auto"/>
                <w:sz w:val="24"/>
                <w:highlight w:val="none"/>
                <w:lang w:eastAsia="zh-CN"/>
              </w:rPr>
              <w:t>复印件（含扫描件）</w:t>
            </w:r>
            <w:r>
              <w:rPr>
                <w:rFonts w:ascii="宋体" w:hAnsi="宋体" w:cs="宋体"/>
                <w:color w:val="auto"/>
                <w:sz w:val="24"/>
                <w:highlight w:val="none"/>
              </w:rPr>
              <w:t>及该证书在</w:t>
            </w:r>
            <w:r>
              <w:rPr>
                <w:rFonts w:hint="eastAsia" w:ascii="宋体" w:hAnsi="宋体" w:cs="宋体"/>
                <w:color w:val="auto"/>
                <w:sz w:val="24"/>
                <w:highlight w:val="none"/>
              </w:rPr>
              <w:t>全国认证认可信息公共服务平台(网址：</w:t>
            </w:r>
            <w:r>
              <w:rPr>
                <w:rFonts w:ascii="宋体" w:hAnsi="宋体" w:cs="宋体"/>
                <w:color w:val="auto"/>
                <w:sz w:val="24"/>
                <w:highlight w:val="none"/>
              </w:rPr>
              <w:fldChar w:fldCharType="begin"/>
            </w:r>
            <w:r>
              <w:rPr>
                <w:rFonts w:ascii="宋体" w:hAnsi="宋体" w:cs="宋体"/>
                <w:color w:val="auto"/>
                <w:sz w:val="24"/>
                <w:highlight w:val="none"/>
              </w:rPr>
              <w:instrText xml:space="preserve"> HYPERLINK "http://cx.cnca.cn）网站截图并加盖公章，不在有效期内或已撤销的不得分。" </w:instrText>
            </w:r>
            <w:r>
              <w:rPr>
                <w:rFonts w:ascii="宋体" w:hAnsi="宋体" w:cs="宋体"/>
                <w:color w:val="auto"/>
                <w:sz w:val="24"/>
                <w:highlight w:val="none"/>
              </w:rPr>
              <w:fldChar w:fldCharType="separate"/>
            </w:r>
            <w:r>
              <w:rPr>
                <w:rFonts w:hint="eastAsia" w:ascii="宋体" w:hAnsi="宋体" w:cs="宋体"/>
                <w:color w:val="auto"/>
                <w:sz w:val="24"/>
                <w:highlight w:val="none"/>
              </w:rPr>
              <w:t>http://cx.cnca.cn）或者国家认证认可监督委员会官网（http://www.cnca.gov.cn/）网站查询为</w:t>
            </w:r>
            <w:r>
              <w:rPr>
                <w:rFonts w:hint="eastAsia" w:ascii="宋体" w:hAnsi="宋体" w:cs="宋体"/>
                <w:color w:val="auto"/>
                <w:sz w:val="24"/>
                <w:highlight w:val="none"/>
              </w:rPr>
              <w:fldChar w:fldCharType="end"/>
            </w:r>
            <w:r>
              <w:rPr>
                <w:rFonts w:ascii="宋体" w:hAnsi="宋体" w:cs="宋体"/>
                <w:color w:val="auto"/>
                <w:sz w:val="24"/>
                <w:highlight w:val="none"/>
              </w:rPr>
              <w:t>有效的网页截图并注明网址</w:t>
            </w:r>
            <w:r>
              <w:rPr>
                <w:rFonts w:hint="default" w:ascii="宋体" w:hAnsi="宋体" w:cs="宋体"/>
                <w:color w:val="auto"/>
                <w:sz w:val="24"/>
                <w:highlight w:val="none"/>
                <w:lang w:eastAsia="zh-CN"/>
              </w:rPr>
              <w:t>（</w:t>
            </w:r>
            <w:r>
              <w:rPr>
                <w:rFonts w:hint="default" w:ascii="宋体" w:hAnsi="宋体" w:eastAsia="宋体" w:cs="宋体"/>
                <w:color w:val="auto"/>
                <w:sz w:val="24"/>
                <w:szCs w:val="22"/>
                <w:highlight w:val="none"/>
                <w:lang w:val="en-US" w:eastAsia="zh-CN"/>
              </w:rPr>
              <w:t>或承诺上述网站可查询，承诺函格式自拟</w:t>
            </w:r>
            <w:r>
              <w:rPr>
                <w:rFonts w:hint="default" w:ascii="宋体" w:hAnsi="宋体" w:cs="宋体"/>
                <w:color w:val="auto"/>
                <w:sz w:val="24"/>
                <w:highlight w:val="none"/>
                <w:lang w:eastAsia="zh-CN"/>
              </w:rPr>
              <w:t>）</w:t>
            </w:r>
            <w:r>
              <w:rPr>
                <w:rFonts w:ascii="宋体" w:hAnsi="宋体" w:cs="宋体"/>
                <w:color w:val="auto"/>
                <w:sz w:val="24"/>
                <w:highlight w:val="none"/>
              </w:rPr>
              <w:t>，否则不得分。</w:t>
            </w:r>
          </w:p>
        </w:tc>
        <w:tc>
          <w:tcPr>
            <w:tcW w:w="761" w:type="dxa"/>
            <w:tcBorders>
              <w:top w:val="single" w:color="auto" w:sz="4" w:space="0"/>
              <w:left w:val="single" w:color="auto" w:sz="4" w:space="0"/>
              <w:bottom w:val="single" w:color="auto" w:sz="4" w:space="0"/>
              <w:right w:val="single" w:color="auto" w:sz="4" w:space="0"/>
            </w:tcBorders>
            <w:vAlign w:val="center"/>
          </w:tcPr>
          <w:p w14:paraId="42E78157">
            <w:pPr>
              <w:spacing w:line="360" w:lineRule="auto"/>
              <w:jc w:val="center"/>
              <w:rPr>
                <w:rFonts w:hint="eastAsia" w:ascii="宋体" w:hAnsi="宋体" w:eastAsia="宋体" w:cs="宋体"/>
                <w:color w:val="auto"/>
                <w:szCs w:val="21"/>
                <w:highlight w:val="none"/>
                <w:lang w:val="en-US" w:eastAsia="zh-CN"/>
              </w:rPr>
            </w:pPr>
            <w:r>
              <w:rPr>
                <w:rFonts w:hint="eastAsia" w:ascii="宋体" w:hAnsi="宋体"/>
                <w:bCs/>
                <w:color w:val="auto"/>
                <w:sz w:val="24"/>
                <w:highlight w:val="none"/>
                <w:lang w:val="en-US" w:eastAsia="zh-CN"/>
              </w:rPr>
              <w:t>3</w:t>
            </w:r>
          </w:p>
        </w:tc>
      </w:tr>
      <w:tr w14:paraId="68F8ECAF">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14:paraId="44ED8203">
            <w:pPr>
              <w:spacing w:line="360" w:lineRule="auto"/>
              <w:jc w:val="center"/>
              <w:rPr>
                <w:rFonts w:hint="eastAsia" w:ascii="宋体" w:hAnsi="宋体" w:eastAsia="宋体" w:cs="宋体"/>
                <w:color w:val="auto"/>
                <w:kern w:val="2"/>
                <w:sz w:val="21"/>
                <w:szCs w:val="21"/>
                <w:highlight w:val="none"/>
                <w:lang w:val="en-US" w:eastAsia="zh-CN" w:bidi="ar-SA"/>
              </w:rPr>
            </w:pPr>
            <w:r>
              <w:rPr>
                <w:rFonts w:hint="eastAsia" w:ascii="宋体" w:hAnsi="宋体" w:cs="宋体"/>
                <w:bCs/>
                <w:color w:val="auto"/>
                <w:szCs w:val="21"/>
                <w:highlight w:val="none"/>
              </w:rPr>
              <w:t>2</w:t>
            </w:r>
          </w:p>
        </w:tc>
        <w:tc>
          <w:tcPr>
            <w:tcW w:w="7096" w:type="dxa"/>
            <w:tcBorders>
              <w:top w:val="single" w:color="auto" w:sz="4" w:space="0"/>
              <w:left w:val="single" w:color="auto" w:sz="4" w:space="0"/>
              <w:bottom w:val="single" w:color="auto" w:sz="4" w:space="0"/>
              <w:right w:val="single" w:color="auto" w:sz="4" w:space="0"/>
            </w:tcBorders>
          </w:tcPr>
          <w:p w14:paraId="3BE3F657">
            <w:pPr>
              <w:spacing w:line="360" w:lineRule="auto"/>
              <w:rPr>
                <w:rFonts w:hint="default" w:ascii="宋体" w:hAnsi="宋体" w:cs="宋体"/>
                <w:color w:val="auto"/>
                <w:sz w:val="24"/>
                <w:szCs w:val="22"/>
                <w:highlight w:val="none"/>
              </w:rPr>
            </w:pPr>
            <w:r>
              <w:rPr>
                <w:rFonts w:hint="eastAsia" w:ascii="宋体" w:hAnsi="宋体" w:cs="宋体"/>
                <w:color w:val="auto"/>
                <w:sz w:val="24"/>
                <w:highlight w:val="none"/>
              </w:rPr>
              <w:t>投标人具有完善的售后服务体系，须提供五星级《售后服务认证证书》，所提供的证书覆盖范围包含：</w:t>
            </w:r>
            <w:r>
              <w:rPr>
                <w:rFonts w:hint="default" w:ascii="宋体" w:hAnsi="宋体" w:eastAsia="宋体" w:cs="宋体"/>
                <w:color w:val="auto"/>
                <w:sz w:val="24"/>
                <w:szCs w:val="22"/>
                <w:highlight w:val="none"/>
                <w:lang w:val="en-US" w:eastAsia="zh-CN"/>
              </w:rPr>
              <w:t>公寓家具（例如：</w:t>
            </w:r>
            <w:r>
              <w:rPr>
                <w:rFonts w:hint="eastAsia" w:ascii="宋体" w:hAnsi="宋体" w:cs="宋体"/>
                <w:color w:val="auto"/>
                <w:sz w:val="24"/>
                <w:highlight w:val="none"/>
              </w:rPr>
              <w:t>学生公寓家具</w:t>
            </w:r>
            <w:r>
              <w:rPr>
                <w:rFonts w:hint="default" w:ascii="宋体" w:hAnsi="宋体" w:cs="宋体"/>
                <w:color w:val="auto"/>
                <w:sz w:val="24"/>
                <w:highlight w:val="none"/>
                <w:lang w:val="en-US" w:eastAsia="zh-CN"/>
              </w:rPr>
              <w:t>或</w:t>
            </w:r>
            <w:r>
              <w:rPr>
                <w:rFonts w:hint="eastAsia" w:ascii="宋体" w:hAnsi="宋体" w:cs="宋体"/>
                <w:color w:val="auto"/>
                <w:sz w:val="24"/>
                <w:highlight w:val="none"/>
              </w:rPr>
              <w:t>组合式公寓家具</w:t>
            </w:r>
            <w:r>
              <w:rPr>
                <w:rFonts w:hint="default" w:ascii="宋体" w:hAnsi="宋体" w:cs="宋体"/>
                <w:color w:val="auto"/>
                <w:sz w:val="24"/>
                <w:highlight w:val="none"/>
                <w:lang w:eastAsia="zh-CN"/>
              </w:rPr>
              <w:t>等</w:t>
            </w:r>
            <w:r>
              <w:rPr>
                <w:rFonts w:hint="default" w:ascii="宋体" w:hAnsi="宋体" w:eastAsia="宋体" w:cs="宋体"/>
                <w:color w:val="auto"/>
                <w:sz w:val="24"/>
                <w:szCs w:val="22"/>
                <w:highlight w:val="none"/>
                <w:lang w:val="en-US" w:eastAsia="zh-CN"/>
              </w:rPr>
              <w:t>）</w:t>
            </w:r>
            <w:r>
              <w:rPr>
                <w:rFonts w:hint="eastAsia" w:ascii="宋体" w:hAnsi="宋体" w:cs="宋体"/>
                <w:color w:val="auto"/>
                <w:sz w:val="24"/>
                <w:highlight w:val="none"/>
              </w:rPr>
              <w:t>；</w:t>
            </w:r>
            <w:r>
              <w:rPr>
                <w:rFonts w:ascii="宋体" w:hAnsi="宋体" w:cs="宋体"/>
                <w:color w:val="auto"/>
                <w:sz w:val="24"/>
                <w:highlight w:val="none"/>
              </w:rPr>
              <w:t>投标人须提供有效证书</w:t>
            </w:r>
            <w:r>
              <w:rPr>
                <w:rFonts w:hint="eastAsia" w:ascii="宋体" w:hAnsi="宋体" w:cs="宋体"/>
                <w:color w:val="auto"/>
                <w:sz w:val="24"/>
                <w:highlight w:val="none"/>
                <w:lang w:eastAsia="zh-CN"/>
              </w:rPr>
              <w:t>复印件（含扫描件）</w:t>
            </w:r>
            <w:r>
              <w:rPr>
                <w:rFonts w:ascii="宋体" w:hAnsi="宋体" w:cs="宋体"/>
                <w:color w:val="auto"/>
                <w:sz w:val="24"/>
                <w:highlight w:val="none"/>
              </w:rPr>
              <w:t>及该证书在</w:t>
            </w:r>
            <w:r>
              <w:rPr>
                <w:rFonts w:hint="eastAsia" w:ascii="宋体" w:hAnsi="宋体" w:cs="宋体"/>
                <w:color w:val="auto"/>
                <w:sz w:val="24"/>
                <w:highlight w:val="none"/>
              </w:rPr>
              <w:t>全国认证认可信息公共服务平台(网址：</w:t>
            </w:r>
            <w:r>
              <w:rPr>
                <w:rFonts w:ascii="宋体" w:hAnsi="宋体" w:cs="宋体"/>
                <w:color w:val="auto"/>
                <w:sz w:val="24"/>
                <w:highlight w:val="none"/>
              </w:rPr>
              <w:fldChar w:fldCharType="begin"/>
            </w:r>
            <w:r>
              <w:rPr>
                <w:rFonts w:ascii="宋体" w:hAnsi="宋体" w:cs="宋体"/>
                <w:color w:val="auto"/>
                <w:sz w:val="24"/>
                <w:highlight w:val="none"/>
              </w:rPr>
              <w:instrText xml:space="preserve"> HYPERLINK "http://cx.cnca.cn）网站截图并加盖公章，不在有效期内或已撤销的不得分。" </w:instrText>
            </w:r>
            <w:r>
              <w:rPr>
                <w:rFonts w:ascii="宋体" w:hAnsi="宋体" w:cs="宋体"/>
                <w:color w:val="auto"/>
                <w:sz w:val="24"/>
                <w:highlight w:val="none"/>
              </w:rPr>
              <w:fldChar w:fldCharType="separate"/>
            </w:r>
            <w:r>
              <w:rPr>
                <w:rFonts w:hint="eastAsia" w:ascii="宋体" w:hAnsi="宋体" w:cs="宋体"/>
                <w:color w:val="auto"/>
                <w:sz w:val="24"/>
                <w:highlight w:val="none"/>
              </w:rPr>
              <w:t>http://cx.cnca.cn）或者国家认证认可监督委员会官网（http://www.cnca.gov.cn/）网站查询为</w:t>
            </w:r>
            <w:r>
              <w:rPr>
                <w:rFonts w:hint="eastAsia" w:ascii="宋体" w:hAnsi="宋体" w:cs="宋体"/>
                <w:color w:val="auto"/>
                <w:sz w:val="24"/>
                <w:highlight w:val="none"/>
              </w:rPr>
              <w:fldChar w:fldCharType="end"/>
            </w:r>
            <w:r>
              <w:rPr>
                <w:rFonts w:ascii="宋体" w:hAnsi="宋体" w:cs="宋体"/>
                <w:color w:val="auto"/>
                <w:sz w:val="24"/>
                <w:highlight w:val="none"/>
              </w:rPr>
              <w:t>有效的网页截图并注明网址</w:t>
            </w:r>
            <w:r>
              <w:rPr>
                <w:rFonts w:hint="default" w:ascii="宋体" w:hAnsi="宋体" w:cs="宋体"/>
                <w:color w:val="auto"/>
                <w:sz w:val="24"/>
                <w:highlight w:val="none"/>
                <w:lang w:eastAsia="zh-CN"/>
              </w:rPr>
              <w:t>（</w:t>
            </w:r>
            <w:r>
              <w:rPr>
                <w:rFonts w:hint="default" w:ascii="宋体" w:hAnsi="宋体" w:eastAsia="宋体" w:cs="宋体"/>
                <w:color w:val="auto"/>
                <w:sz w:val="24"/>
                <w:szCs w:val="22"/>
                <w:highlight w:val="none"/>
                <w:lang w:val="en-US" w:eastAsia="zh-CN"/>
              </w:rPr>
              <w:t>或承诺上述网站可查询，承诺函格式自拟</w:t>
            </w:r>
            <w:r>
              <w:rPr>
                <w:rFonts w:hint="default" w:ascii="宋体" w:hAnsi="宋体" w:cs="宋体"/>
                <w:color w:val="auto"/>
                <w:sz w:val="24"/>
                <w:highlight w:val="none"/>
                <w:lang w:eastAsia="zh-CN"/>
              </w:rPr>
              <w:t>）</w:t>
            </w:r>
            <w:r>
              <w:rPr>
                <w:rFonts w:hint="eastAsia" w:ascii="宋体" w:hAnsi="宋体" w:cs="宋体"/>
                <w:color w:val="auto"/>
                <w:sz w:val="24"/>
                <w:highlight w:val="none"/>
              </w:rPr>
              <w:t>；</w:t>
            </w:r>
            <w:r>
              <w:rPr>
                <w:rFonts w:ascii="宋体" w:hAnsi="宋体" w:cs="宋体"/>
                <w:color w:val="auto"/>
                <w:sz w:val="24"/>
                <w:highlight w:val="none"/>
              </w:rPr>
              <w:t>满足本项</w:t>
            </w:r>
            <w:r>
              <w:rPr>
                <w:rFonts w:hint="eastAsia" w:ascii="宋体" w:hAnsi="宋体" w:cs="宋体"/>
                <w:color w:val="auto"/>
                <w:sz w:val="24"/>
                <w:highlight w:val="none"/>
              </w:rPr>
              <w:t>全部</w:t>
            </w:r>
            <w:r>
              <w:rPr>
                <w:rFonts w:ascii="宋体" w:hAnsi="宋体" w:cs="宋体"/>
                <w:color w:val="auto"/>
                <w:sz w:val="24"/>
                <w:highlight w:val="none"/>
              </w:rPr>
              <w:t>要求的得</w:t>
            </w:r>
            <w:r>
              <w:rPr>
                <w:rFonts w:hint="default" w:ascii="宋体" w:hAnsi="宋体" w:cs="宋体"/>
                <w:color w:val="auto"/>
                <w:sz w:val="24"/>
                <w:highlight w:val="none"/>
                <w:lang w:val="en-US" w:eastAsia="zh-CN"/>
              </w:rPr>
              <w:t>1</w:t>
            </w:r>
            <w:r>
              <w:rPr>
                <w:rFonts w:hint="eastAsia" w:ascii="宋体" w:hAnsi="宋体" w:cs="宋体"/>
                <w:color w:val="auto"/>
                <w:sz w:val="24"/>
                <w:highlight w:val="none"/>
              </w:rPr>
              <w:t>分，缺一项不得分。</w:t>
            </w:r>
          </w:p>
        </w:tc>
        <w:tc>
          <w:tcPr>
            <w:tcW w:w="761" w:type="dxa"/>
            <w:tcBorders>
              <w:top w:val="single" w:color="auto" w:sz="4" w:space="0"/>
              <w:left w:val="single" w:color="auto" w:sz="4" w:space="0"/>
              <w:bottom w:val="single" w:color="auto" w:sz="4" w:space="0"/>
              <w:right w:val="single" w:color="auto" w:sz="4" w:space="0"/>
            </w:tcBorders>
            <w:vAlign w:val="center"/>
          </w:tcPr>
          <w:p w14:paraId="738F0439">
            <w:pPr>
              <w:spacing w:line="360" w:lineRule="auto"/>
              <w:jc w:val="center"/>
              <w:rPr>
                <w:rFonts w:hint="eastAsia" w:ascii="宋体" w:hAnsi="宋体" w:eastAsia="宋体" w:cs="宋体"/>
                <w:color w:val="auto"/>
                <w:szCs w:val="21"/>
                <w:highlight w:val="none"/>
                <w:lang w:val="en-US" w:eastAsia="zh-CN"/>
              </w:rPr>
            </w:pPr>
            <w:r>
              <w:rPr>
                <w:rFonts w:hint="eastAsia" w:ascii="宋体" w:hAnsi="宋体"/>
                <w:bCs/>
                <w:color w:val="auto"/>
                <w:sz w:val="24"/>
                <w:highlight w:val="none"/>
                <w:lang w:val="en-US" w:eastAsia="zh-CN"/>
              </w:rPr>
              <w:t>1</w:t>
            </w:r>
          </w:p>
        </w:tc>
      </w:tr>
      <w:tr w14:paraId="5B61B162">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14:paraId="7DB392E4">
            <w:pPr>
              <w:spacing w:line="360" w:lineRule="auto"/>
              <w:jc w:val="center"/>
              <w:rPr>
                <w:rFonts w:hint="eastAsia" w:ascii="宋体" w:hAnsi="宋体" w:eastAsia="宋体" w:cs="宋体"/>
                <w:color w:val="auto"/>
                <w:kern w:val="2"/>
                <w:sz w:val="21"/>
                <w:szCs w:val="21"/>
                <w:highlight w:val="none"/>
                <w:lang w:val="en-US" w:eastAsia="zh-CN" w:bidi="ar-SA"/>
              </w:rPr>
            </w:pPr>
            <w:r>
              <w:rPr>
                <w:rFonts w:hint="eastAsia" w:ascii="宋体" w:hAnsi="宋体" w:cs="宋体"/>
                <w:bCs/>
                <w:color w:val="auto"/>
                <w:szCs w:val="21"/>
                <w:highlight w:val="none"/>
              </w:rPr>
              <w:t>3</w:t>
            </w:r>
          </w:p>
        </w:tc>
        <w:tc>
          <w:tcPr>
            <w:tcW w:w="7096" w:type="dxa"/>
            <w:tcBorders>
              <w:top w:val="single" w:color="auto" w:sz="4" w:space="0"/>
              <w:left w:val="single" w:color="auto" w:sz="4" w:space="0"/>
              <w:bottom w:val="single" w:color="auto" w:sz="4" w:space="0"/>
              <w:right w:val="single" w:color="auto" w:sz="4" w:space="0"/>
            </w:tcBorders>
          </w:tcPr>
          <w:p w14:paraId="7E219A1E">
            <w:pPr>
              <w:spacing w:line="360" w:lineRule="auto"/>
              <w:rPr>
                <w:rFonts w:hint="eastAsia" w:ascii="宋体" w:hAnsi="宋体" w:cs="宋体"/>
                <w:color w:val="auto"/>
                <w:sz w:val="24"/>
                <w:highlight w:val="none"/>
              </w:rPr>
            </w:pPr>
            <w:r>
              <w:rPr>
                <w:rFonts w:ascii="宋体" w:hAnsi="宋体" w:cs="宋体"/>
                <w:color w:val="auto"/>
                <w:sz w:val="24"/>
                <w:highlight w:val="none"/>
              </w:rPr>
              <w:t xml:space="preserve">投标人提供有效期内的中国绿色产品认证证书，产品标准/技术要求： </w:t>
            </w:r>
            <w:r>
              <w:rPr>
                <w:rFonts w:hint="eastAsia" w:ascii="宋体" w:hAnsi="宋体" w:cs="宋体"/>
                <w:color w:val="auto"/>
                <w:sz w:val="24"/>
                <w:highlight w:val="none"/>
              </w:rPr>
              <w:t>GB/T 35607-2024，且证书产品名称包含：木家具（人造板家具）</w:t>
            </w:r>
            <w:r>
              <w:rPr>
                <w:rFonts w:hint="default" w:ascii="宋体" w:hAnsi="宋体" w:cs="宋体"/>
                <w:color w:val="auto"/>
                <w:sz w:val="24"/>
                <w:highlight w:val="none"/>
                <w:lang w:val="en-US" w:eastAsia="zh-CN"/>
              </w:rPr>
              <w:t>或</w:t>
            </w:r>
            <w:r>
              <w:rPr>
                <w:rFonts w:hint="eastAsia" w:ascii="宋体" w:hAnsi="宋体" w:cs="宋体"/>
                <w:color w:val="auto"/>
                <w:sz w:val="24"/>
                <w:highlight w:val="none"/>
              </w:rPr>
              <w:t>金属家具</w:t>
            </w:r>
            <w:r>
              <w:rPr>
                <w:rFonts w:ascii="宋体" w:hAnsi="宋体" w:cs="宋体"/>
                <w:color w:val="auto"/>
                <w:sz w:val="24"/>
                <w:highlight w:val="none"/>
              </w:rPr>
              <w:t>的得</w:t>
            </w:r>
            <w:r>
              <w:rPr>
                <w:rFonts w:hint="default" w:ascii="宋体" w:hAnsi="宋体" w:cs="宋体"/>
                <w:color w:val="auto"/>
                <w:sz w:val="24"/>
                <w:highlight w:val="none"/>
                <w:lang w:val="en-US" w:eastAsia="zh-CN"/>
              </w:rPr>
              <w:t>1</w:t>
            </w:r>
            <w:r>
              <w:rPr>
                <w:rFonts w:ascii="宋体" w:hAnsi="宋体" w:cs="宋体"/>
                <w:color w:val="auto"/>
                <w:sz w:val="24"/>
                <w:highlight w:val="none"/>
              </w:rPr>
              <w:t>分，未提供的不得分</w:t>
            </w:r>
            <w:r>
              <w:rPr>
                <w:rFonts w:hint="eastAsia" w:ascii="宋体" w:hAnsi="宋体" w:cs="宋体"/>
                <w:color w:val="auto"/>
                <w:sz w:val="24"/>
                <w:highlight w:val="none"/>
              </w:rPr>
              <w:t>。</w:t>
            </w:r>
          </w:p>
          <w:p w14:paraId="30068FA0">
            <w:pPr>
              <w:spacing w:line="360" w:lineRule="auto"/>
              <w:rPr>
                <w:rFonts w:hint="eastAsia" w:ascii="宋体" w:hAnsi="宋体" w:cs="宋体"/>
                <w:color w:val="auto"/>
                <w:sz w:val="24"/>
                <w:highlight w:val="none"/>
              </w:rPr>
            </w:pPr>
            <w:r>
              <w:rPr>
                <w:rFonts w:ascii="宋体" w:hAnsi="宋体" w:cs="宋体"/>
                <w:color w:val="auto"/>
                <w:sz w:val="24"/>
                <w:highlight w:val="none"/>
              </w:rPr>
              <w:t>投标人须提供有效证书</w:t>
            </w:r>
            <w:r>
              <w:rPr>
                <w:rFonts w:hint="eastAsia" w:ascii="宋体" w:hAnsi="宋体" w:cs="宋体"/>
                <w:color w:val="auto"/>
                <w:sz w:val="24"/>
                <w:highlight w:val="none"/>
                <w:lang w:eastAsia="zh-CN"/>
              </w:rPr>
              <w:t>复印件（含扫描件）</w:t>
            </w:r>
            <w:r>
              <w:rPr>
                <w:rFonts w:ascii="宋体" w:hAnsi="宋体" w:cs="宋体"/>
                <w:color w:val="auto"/>
                <w:sz w:val="24"/>
                <w:highlight w:val="none"/>
              </w:rPr>
              <w:t>及该证书在</w:t>
            </w:r>
            <w:r>
              <w:rPr>
                <w:rFonts w:hint="eastAsia" w:ascii="宋体" w:hAnsi="宋体" w:cs="宋体"/>
                <w:color w:val="auto"/>
                <w:sz w:val="24"/>
                <w:highlight w:val="none"/>
              </w:rPr>
              <w:t>全国认证认可信息公共服务平台(网址：</w:t>
            </w:r>
            <w:r>
              <w:rPr>
                <w:rFonts w:ascii="宋体" w:hAnsi="宋体" w:cs="宋体"/>
                <w:color w:val="auto"/>
                <w:sz w:val="24"/>
                <w:highlight w:val="none"/>
              </w:rPr>
              <w:fldChar w:fldCharType="begin"/>
            </w:r>
            <w:r>
              <w:rPr>
                <w:rFonts w:ascii="宋体" w:hAnsi="宋体" w:cs="宋体"/>
                <w:color w:val="auto"/>
                <w:sz w:val="24"/>
                <w:highlight w:val="none"/>
              </w:rPr>
              <w:instrText xml:space="preserve"> HYPERLINK "http://cx.cnca.cn）网站截图并加盖公章，不在有效期内或已撤销的不得分。" </w:instrText>
            </w:r>
            <w:r>
              <w:rPr>
                <w:rFonts w:ascii="宋体" w:hAnsi="宋体" w:cs="宋体"/>
                <w:color w:val="auto"/>
                <w:sz w:val="24"/>
                <w:highlight w:val="none"/>
              </w:rPr>
              <w:fldChar w:fldCharType="separate"/>
            </w:r>
            <w:r>
              <w:rPr>
                <w:rFonts w:hint="eastAsia" w:ascii="宋体" w:hAnsi="宋体" w:cs="宋体"/>
                <w:color w:val="auto"/>
                <w:sz w:val="24"/>
                <w:highlight w:val="none"/>
              </w:rPr>
              <w:t>http://cx.cnca.cn）或者国家认证认可监督委员会官网（http://www.cnca.gov.cn/）网站查询为</w:t>
            </w:r>
            <w:r>
              <w:rPr>
                <w:rFonts w:hint="eastAsia" w:ascii="宋体" w:hAnsi="宋体" w:cs="宋体"/>
                <w:color w:val="auto"/>
                <w:sz w:val="24"/>
                <w:highlight w:val="none"/>
              </w:rPr>
              <w:fldChar w:fldCharType="end"/>
            </w:r>
            <w:r>
              <w:rPr>
                <w:rFonts w:ascii="宋体" w:hAnsi="宋体" w:cs="宋体"/>
                <w:color w:val="auto"/>
                <w:sz w:val="24"/>
                <w:highlight w:val="none"/>
              </w:rPr>
              <w:t>有效的网页截图并注明网址</w:t>
            </w:r>
            <w:r>
              <w:rPr>
                <w:rFonts w:hint="default" w:ascii="宋体" w:hAnsi="宋体" w:cs="宋体"/>
                <w:color w:val="auto"/>
                <w:sz w:val="24"/>
                <w:highlight w:val="none"/>
                <w:lang w:eastAsia="zh-CN"/>
              </w:rPr>
              <w:t>（</w:t>
            </w:r>
            <w:r>
              <w:rPr>
                <w:rFonts w:hint="default" w:ascii="宋体" w:hAnsi="宋体" w:eastAsia="宋体" w:cs="宋体"/>
                <w:color w:val="auto"/>
                <w:sz w:val="24"/>
                <w:szCs w:val="22"/>
                <w:highlight w:val="none"/>
                <w:lang w:val="en-US" w:eastAsia="zh-CN"/>
              </w:rPr>
              <w:t>或承诺上述网站可查询，承诺函格式自拟</w:t>
            </w:r>
            <w:r>
              <w:rPr>
                <w:rFonts w:hint="default" w:ascii="宋体" w:hAnsi="宋体" w:cs="宋体"/>
                <w:color w:val="auto"/>
                <w:sz w:val="24"/>
                <w:highlight w:val="none"/>
                <w:lang w:eastAsia="zh-CN"/>
              </w:rPr>
              <w:t>）</w:t>
            </w:r>
            <w:r>
              <w:rPr>
                <w:rFonts w:ascii="宋体" w:hAnsi="宋体" w:cs="宋体"/>
                <w:color w:val="auto"/>
                <w:sz w:val="24"/>
                <w:highlight w:val="none"/>
              </w:rPr>
              <w:t>，否则不得分。</w:t>
            </w:r>
          </w:p>
        </w:tc>
        <w:tc>
          <w:tcPr>
            <w:tcW w:w="761" w:type="dxa"/>
            <w:tcBorders>
              <w:top w:val="single" w:color="auto" w:sz="4" w:space="0"/>
              <w:left w:val="single" w:color="auto" w:sz="4" w:space="0"/>
              <w:bottom w:val="single" w:color="auto" w:sz="4" w:space="0"/>
              <w:right w:val="single" w:color="auto" w:sz="4" w:space="0"/>
            </w:tcBorders>
            <w:vAlign w:val="center"/>
          </w:tcPr>
          <w:p w14:paraId="757E5E24">
            <w:pPr>
              <w:spacing w:line="360" w:lineRule="auto"/>
              <w:jc w:val="center"/>
              <w:rPr>
                <w:rFonts w:hint="eastAsia" w:ascii="宋体" w:hAnsi="宋体" w:eastAsia="宋体" w:cs="宋体"/>
                <w:color w:val="auto"/>
                <w:szCs w:val="21"/>
                <w:highlight w:val="none"/>
                <w:lang w:val="en-US" w:eastAsia="zh-CN"/>
              </w:rPr>
            </w:pPr>
            <w:r>
              <w:rPr>
                <w:rFonts w:hint="eastAsia" w:ascii="宋体" w:hAnsi="宋体"/>
                <w:bCs/>
                <w:color w:val="auto"/>
                <w:sz w:val="24"/>
                <w:highlight w:val="none"/>
                <w:lang w:val="en-US" w:eastAsia="zh-CN"/>
              </w:rPr>
              <w:t>1</w:t>
            </w:r>
          </w:p>
        </w:tc>
      </w:tr>
      <w:tr w14:paraId="1035179E">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14:paraId="7878268A">
            <w:pPr>
              <w:spacing w:line="360" w:lineRule="auto"/>
              <w:jc w:val="center"/>
              <w:rPr>
                <w:rFonts w:hint="default" w:ascii="宋体" w:hAnsi="宋体" w:eastAsia="宋体" w:cs="宋体"/>
                <w:color w:val="auto"/>
                <w:kern w:val="2"/>
                <w:sz w:val="21"/>
                <w:szCs w:val="21"/>
                <w:highlight w:val="none"/>
                <w:lang w:val="en-US" w:eastAsia="zh-CN" w:bidi="ar-SA"/>
              </w:rPr>
            </w:pPr>
            <w:r>
              <w:rPr>
                <w:rFonts w:hint="eastAsia" w:ascii="宋体" w:hAnsi="宋体" w:cs="宋体"/>
                <w:bCs/>
                <w:color w:val="auto"/>
                <w:szCs w:val="21"/>
                <w:highlight w:val="none"/>
                <w:lang w:val="en-US" w:eastAsia="zh-CN"/>
              </w:rPr>
              <w:t>4</w:t>
            </w:r>
          </w:p>
        </w:tc>
        <w:tc>
          <w:tcPr>
            <w:tcW w:w="7096" w:type="dxa"/>
            <w:tcBorders>
              <w:top w:val="single" w:color="auto" w:sz="4" w:space="0"/>
              <w:left w:val="single" w:color="auto" w:sz="4" w:space="0"/>
              <w:bottom w:val="single" w:color="auto" w:sz="4" w:space="0"/>
              <w:right w:val="single" w:color="auto" w:sz="4" w:space="0"/>
            </w:tcBorders>
            <w:vAlign w:val="center"/>
          </w:tcPr>
          <w:p w14:paraId="1B201ECC">
            <w:pPr>
              <w:widowControl/>
              <w:spacing w:line="360" w:lineRule="auto"/>
              <w:jc w:val="left"/>
              <w:rPr>
                <w:rFonts w:hint="eastAsia" w:ascii="宋体" w:hAnsi="宋体" w:cs="宋体"/>
                <w:color w:val="auto"/>
                <w:sz w:val="24"/>
                <w:highlight w:val="none"/>
              </w:rPr>
            </w:pPr>
            <w:r>
              <w:rPr>
                <w:rFonts w:hint="eastAsia" w:ascii="宋体" w:hAnsi="宋体" w:cs="宋体"/>
                <w:color w:val="auto"/>
                <w:sz w:val="24"/>
                <w:highlight w:val="none"/>
              </w:rPr>
              <w:t>根据投标人质保承诺进行评价：质保期满足招标文件要求</w:t>
            </w:r>
            <w:r>
              <w:rPr>
                <w:rFonts w:hint="eastAsia" w:ascii="宋体" w:hAnsi="宋体" w:cs="宋体"/>
                <w:color w:val="auto"/>
                <w:sz w:val="24"/>
                <w:highlight w:val="none"/>
                <w:lang w:eastAsia="zh-CN"/>
              </w:rPr>
              <w:t>（三年）</w:t>
            </w:r>
            <w:r>
              <w:rPr>
                <w:rFonts w:hint="eastAsia" w:ascii="宋体" w:hAnsi="宋体" w:cs="宋体"/>
                <w:color w:val="auto"/>
                <w:sz w:val="24"/>
                <w:highlight w:val="none"/>
              </w:rPr>
              <w:t>的基础上，每增加</w:t>
            </w:r>
            <w:r>
              <w:rPr>
                <w:rFonts w:hint="eastAsia" w:ascii="宋体" w:hAnsi="宋体" w:cs="宋体"/>
                <w:color w:val="auto"/>
                <w:sz w:val="24"/>
                <w:highlight w:val="none"/>
                <w:lang w:val="en-US" w:eastAsia="zh-CN"/>
              </w:rPr>
              <w:t>一</w:t>
            </w:r>
            <w:r>
              <w:rPr>
                <w:rFonts w:hint="eastAsia" w:ascii="宋体" w:hAnsi="宋体" w:cs="宋体"/>
                <w:color w:val="auto"/>
                <w:sz w:val="24"/>
                <w:highlight w:val="none"/>
              </w:rPr>
              <w:t>年加</w:t>
            </w:r>
            <w:r>
              <w:rPr>
                <w:rFonts w:hint="eastAsia" w:ascii="宋体" w:hAnsi="宋体" w:cs="宋体"/>
                <w:color w:val="auto"/>
                <w:sz w:val="24"/>
                <w:highlight w:val="none"/>
                <w:lang w:val="en-US" w:eastAsia="zh-CN"/>
              </w:rPr>
              <w:t>1</w:t>
            </w:r>
            <w:r>
              <w:rPr>
                <w:rFonts w:hint="eastAsia" w:ascii="宋体" w:hAnsi="宋体" w:cs="宋体"/>
                <w:color w:val="auto"/>
                <w:sz w:val="24"/>
                <w:highlight w:val="none"/>
              </w:rPr>
              <w:t>分，满分</w:t>
            </w:r>
            <w:r>
              <w:rPr>
                <w:rFonts w:hint="eastAsia" w:ascii="宋体" w:hAnsi="宋体" w:cs="宋体"/>
                <w:color w:val="auto"/>
                <w:sz w:val="24"/>
                <w:highlight w:val="none"/>
                <w:lang w:val="en-US" w:eastAsia="zh-CN"/>
              </w:rPr>
              <w:t>3</w:t>
            </w:r>
            <w:r>
              <w:rPr>
                <w:rFonts w:hint="eastAsia" w:ascii="宋体" w:hAnsi="宋体" w:cs="宋体"/>
                <w:color w:val="auto"/>
                <w:sz w:val="24"/>
                <w:highlight w:val="none"/>
              </w:rPr>
              <w:t>分。（提供书面承诺函，格式自拟）</w:t>
            </w:r>
          </w:p>
        </w:tc>
        <w:tc>
          <w:tcPr>
            <w:tcW w:w="761" w:type="dxa"/>
            <w:tcBorders>
              <w:top w:val="single" w:color="auto" w:sz="4" w:space="0"/>
              <w:left w:val="single" w:color="auto" w:sz="4" w:space="0"/>
              <w:bottom w:val="single" w:color="auto" w:sz="4" w:space="0"/>
              <w:right w:val="single" w:color="auto" w:sz="4" w:space="0"/>
            </w:tcBorders>
            <w:vAlign w:val="center"/>
          </w:tcPr>
          <w:p w14:paraId="5C553C69">
            <w:pPr>
              <w:tabs>
                <w:tab w:val="left" w:pos="-1080"/>
                <w:tab w:val="left" w:pos="180"/>
                <w:tab w:val="left" w:pos="1080"/>
                <w:tab w:val="left" w:pos="2370"/>
              </w:tabs>
              <w:spacing w:line="360" w:lineRule="auto"/>
              <w:jc w:val="center"/>
              <w:rPr>
                <w:rFonts w:hint="eastAsia" w:ascii="宋体" w:hAnsi="宋体" w:eastAsia="宋体" w:cs="宋体"/>
                <w:bCs/>
                <w:color w:val="auto"/>
                <w:szCs w:val="21"/>
                <w:highlight w:val="none"/>
                <w:lang w:val="en-US" w:eastAsia="zh-CN"/>
              </w:rPr>
            </w:pPr>
            <w:r>
              <w:rPr>
                <w:rFonts w:hint="eastAsia" w:ascii="宋体" w:hAnsi="宋体" w:cs="宋体"/>
                <w:bCs/>
                <w:color w:val="auto"/>
                <w:sz w:val="24"/>
                <w:highlight w:val="none"/>
                <w:lang w:val="en-US" w:eastAsia="zh-CN"/>
              </w:rPr>
              <w:t>3</w:t>
            </w:r>
          </w:p>
        </w:tc>
      </w:tr>
      <w:tr w14:paraId="78420EA8">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14:paraId="06CAB58E">
            <w:pPr>
              <w:spacing w:line="360" w:lineRule="auto"/>
              <w:jc w:val="center"/>
              <w:rPr>
                <w:rFonts w:hint="default" w:ascii="宋体" w:hAnsi="宋体" w:eastAsia="宋体" w:cs="宋体"/>
                <w:color w:val="auto"/>
                <w:kern w:val="2"/>
                <w:sz w:val="21"/>
                <w:szCs w:val="21"/>
                <w:highlight w:val="none"/>
                <w:lang w:val="en-US" w:eastAsia="zh-CN" w:bidi="ar-SA"/>
              </w:rPr>
            </w:pPr>
            <w:r>
              <w:rPr>
                <w:rFonts w:hint="eastAsia" w:ascii="宋体" w:hAnsi="宋体" w:cs="宋体"/>
                <w:bCs/>
                <w:color w:val="auto"/>
                <w:szCs w:val="21"/>
                <w:highlight w:val="none"/>
                <w:lang w:val="en-US" w:eastAsia="zh-CN"/>
              </w:rPr>
              <w:t>5</w:t>
            </w:r>
          </w:p>
        </w:tc>
        <w:tc>
          <w:tcPr>
            <w:tcW w:w="7096" w:type="dxa"/>
            <w:tcBorders>
              <w:top w:val="single" w:color="auto" w:sz="4" w:space="0"/>
              <w:left w:val="single" w:color="auto" w:sz="4" w:space="0"/>
              <w:bottom w:val="single" w:color="auto" w:sz="4" w:space="0"/>
              <w:right w:val="single" w:color="auto" w:sz="4" w:space="0"/>
            </w:tcBorders>
            <w:vAlign w:val="center"/>
          </w:tcPr>
          <w:p w14:paraId="24783371">
            <w:pPr>
              <w:spacing w:line="360" w:lineRule="auto"/>
              <w:rPr>
                <w:rFonts w:hint="eastAsia" w:ascii="宋体" w:hAnsi="宋体" w:cs="宋体"/>
                <w:color w:val="auto"/>
                <w:spacing w:val="0"/>
                <w:sz w:val="24"/>
                <w:szCs w:val="22"/>
                <w:highlight w:val="none"/>
              </w:rPr>
            </w:pPr>
            <w:r>
              <w:rPr>
                <w:rFonts w:hint="eastAsia" w:ascii="宋体" w:hAnsi="宋体" w:cs="宋体"/>
                <w:color w:val="auto"/>
                <w:sz w:val="24"/>
                <w:highlight w:val="none"/>
              </w:rPr>
              <w:t>投标人提供2022年1月1日</w:t>
            </w:r>
            <w:r>
              <w:rPr>
                <w:rFonts w:hint="eastAsia" w:ascii="宋体" w:hAnsi="宋体" w:eastAsia="宋体" w:cs="宋体"/>
                <w:color w:val="auto"/>
                <w:sz w:val="24"/>
                <w:highlight w:val="none"/>
              </w:rPr>
              <w:t>至</w:t>
            </w:r>
            <w:r>
              <w:rPr>
                <w:rFonts w:hint="eastAsia" w:ascii="宋体" w:hAnsi="宋体" w:eastAsia="宋体" w:cs="宋体"/>
                <w:color w:val="auto"/>
                <w:sz w:val="24"/>
                <w:highlight w:val="none"/>
                <w:lang w:val="en-US" w:eastAsia="zh-CN"/>
              </w:rPr>
              <w:t>投标</w:t>
            </w:r>
            <w:r>
              <w:rPr>
                <w:rFonts w:hint="eastAsia" w:ascii="宋体" w:hAnsi="宋体" w:eastAsia="宋体" w:cs="宋体"/>
                <w:color w:val="auto"/>
                <w:sz w:val="24"/>
                <w:highlight w:val="none"/>
              </w:rPr>
              <w:t>截止</w:t>
            </w:r>
            <w:r>
              <w:rPr>
                <w:rFonts w:hint="eastAsia" w:ascii="宋体" w:hAnsi="宋体" w:cs="宋体"/>
                <w:color w:val="auto"/>
                <w:sz w:val="24"/>
                <w:highlight w:val="none"/>
              </w:rPr>
              <w:t>的同类项目</w:t>
            </w:r>
            <w:r>
              <w:rPr>
                <w:rFonts w:hint="eastAsia" w:ascii="宋体" w:hAnsi="宋体" w:cs="宋体"/>
                <w:color w:val="auto"/>
                <w:kern w:val="2"/>
                <w:sz w:val="24"/>
                <w:highlight w:val="none"/>
                <w:lang w:bidi="ar"/>
              </w:rPr>
              <w:t>（学生宿舍用家具，至少包括组合式公寓家具或公寓组合床或公寓床）</w:t>
            </w:r>
            <w:r>
              <w:rPr>
                <w:rFonts w:hint="eastAsia" w:ascii="宋体" w:hAnsi="宋体" w:cs="宋体"/>
                <w:color w:val="auto"/>
                <w:sz w:val="24"/>
                <w:highlight w:val="none"/>
              </w:rPr>
              <w:t>的业绩，完成日期以验收报告上注明的为准，每项得1分，满分3分。须提供该业绩项目的中标公告（提供相关网站中标公告的下载网页并注明网址）、中标通知书</w:t>
            </w:r>
            <w:r>
              <w:rPr>
                <w:rFonts w:hint="eastAsia" w:ascii="宋体" w:hAnsi="宋体" w:cs="宋体"/>
                <w:color w:val="auto"/>
                <w:sz w:val="24"/>
                <w:highlight w:val="none"/>
                <w:lang w:eastAsia="zh-CN"/>
              </w:rPr>
              <w:t>复印件（含扫描件）</w:t>
            </w:r>
            <w:r>
              <w:rPr>
                <w:rFonts w:hint="eastAsia" w:ascii="宋体" w:hAnsi="宋体" w:cs="宋体"/>
                <w:color w:val="auto"/>
                <w:sz w:val="24"/>
                <w:highlight w:val="none"/>
              </w:rPr>
              <w:t>、采购合同文本</w:t>
            </w:r>
            <w:r>
              <w:rPr>
                <w:rFonts w:hint="eastAsia" w:ascii="宋体" w:hAnsi="宋体" w:cs="宋体"/>
                <w:color w:val="auto"/>
                <w:sz w:val="24"/>
                <w:highlight w:val="none"/>
                <w:lang w:eastAsia="zh-CN"/>
              </w:rPr>
              <w:t>复印件（含扫描件）</w:t>
            </w:r>
            <w:r>
              <w:rPr>
                <w:rFonts w:hint="eastAsia" w:ascii="宋体" w:hAnsi="宋体" w:cs="宋体"/>
                <w:color w:val="auto"/>
                <w:sz w:val="24"/>
                <w:highlight w:val="none"/>
              </w:rPr>
              <w:t>，以及能够证明该业绩项目已经采购人验收合格的相关证明文件</w:t>
            </w:r>
            <w:r>
              <w:rPr>
                <w:rFonts w:hint="eastAsia" w:ascii="宋体" w:hAnsi="宋体" w:cs="宋体"/>
                <w:color w:val="auto"/>
                <w:sz w:val="24"/>
                <w:highlight w:val="none"/>
                <w:lang w:eastAsia="zh-CN"/>
              </w:rPr>
              <w:t>复印件（含扫描件）</w:t>
            </w:r>
            <w:r>
              <w:rPr>
                <w:rFonts w:hint="eastAsia" w:ascii="宋体" w:hAnsi="宋体" w:cs="宋体"/>
                <w:color w:val="auto"/>
                <w:sz w:val="24"/>
                <w:highlight w:val="none"/>
              </w:rPr>
              <w:t>为评分依据，不满足或未提供则不得分。</w:t>
            </w:r>
          </w:p>
        </w:tc>
        <w:tc>
          <w:tcPr>
            <w:tcW w:w="761" w:type="dxa"/>
            <w:tcBorders>
              <w:top w:val="single" w:color="auto" w:sz="4" w:space="0"/>
              <w:left w:val="single" w:color="auto" w:sz="4" w:space="0"/>
              <w:bottom w:val="single" w:color="auto" w:sz="4" w:space="0"/>
              <w:right w:val="single" w:color="auto" w:sz="4" w:space="0"/>
            </w:tcBorders>
            <w:vAlign w:val="center"/>
          </w:tcPr>
          <w:p w14:paraId="795FECC9">
            <w:pPr>
              <w:tabs>
                <w:tab w:val="left" w:pos="-1080"/>
                <w:tab w:val="left" w:pos="180"/>
                <w:tab w:val="left" w:pos="1080"/>
                <w:tab w:val="left" w:pos="2370"/>
              </w:tabs>
              <w:spacing w:line="360" w:lineRule="auto"/>
              <w:jc w:val="center"/>
              <w:rPr>
                <w:rFonts w:hint="eastAsia" w:ascii="宋体" w:hAnsi="宋体" w:cs="宋体"/>
                <w:bCs/>
                <w:color w:val="auto"/>
                <w:szCs w:val="21"/>
                <w:highlight w:val="none"/>
              </w:rPr>
            </w:pPr>
            <w:r>
              <w:rPr>
                <w:rFonts w:hint="eastAsia" w:ascii="宋体" w:hAnsi="宋体" w:cs="宋体"/>
                <w:bCs/>
                <w:color w:val="auto"/>
                <w:sz w:val="24"/>
                <w:highlight w:val="none"/>
              </w:rPr>
              <w:t>3</w:t>
            </w:r>
          </w:p>
        </w:tc>
      </w:tr>
      <w:tr w14:paraId="2D1A2E47">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14:paraId="6F40BC24">
            <w:pPr>
              <w:spacing w:line="360" w:lineRule="auto"/>
              <w:jc w:val="center"/>
              <w:rPr>
                <w:rFonts w:hint="default" w:ascii="宋体" w:hAnsi="宋体" w:cs="宋体"/>
                <w:bCs/>
                <w:color w:val="auto"/>
                <w:szCs w:val="21"/>
                <w:highlight w:val="none"/>
                <w:lang w:val="en-US" w:eastAsia="zh-CN"/>
              </w:rPr>
            </w:pPr>
            <w:r>
              <w:rPr>
                <w:rFonts w:hint="eastAsia" w:ascii="宋体" w:hAnsi="宋体" w:cs="宋体"/>
                <w:bCs/>
                <w:color w:val="auto"/>
                <w:szCs w:val="21"/>
                <w:highlight w:val="none"/>
                <w:lang w:val="en-US" w:eastAsia="zh-CN"/>
              </w:rPr>
              <w:t>6</w:t>
            </w:r>
          </w:p>
        </w:tc>
        <w:tc>
          <w:tcPr>
            <w:tcW w:w="7096" w:type="dxa"/>
            <w:tcBorders>
              <w:top w:val="single" w:color="auto" w:sz="4" w:space="0"/>
              <w:left w:val="single" w:color="auto" w:sz="4" w:space="0"/>
              <w:bottom w:val="single" w:color="auto" w:sz="4" w:space="0"/>
              <w:right w:val="single" w:color="auto" w:sz="4" w:space="0"/>
            </w:tcBorders>
            <w:shd w:val="clear" w:color="auto" w:fill="auto"/>
            <w:vAlign w:val="top"/>
          </w:tcPr>
          <w:p w14:paraId="7743C93E">
            <w:pPr>
              <w:spacing w:line="360" w:lineRule="auto"/>
              <w:jc w:val="left"/>
              <w:rPr>
                <w:rFonts w:hint="eastAsia" w:ascii="宋体" w:hAnsi="宋体" w:eastAsia="宋体" w:cs="宋体"/>
                <w:color w:val="auto"/>
                <w:sz w:val="24"/>
                <w:highlight w:val="none"/>
                <w:lang w:val="en-US" w:eastAsia="zh-Hans" w:bidi="ar-SA"/>
              </w:rPr>
            </w:pPr>
            <w:r>
              <w:rPr>
                <w:rFonts w:hint="eastAsia" w:ascii="宋体" w:hAnsi="宋体" w:eastAsia="宋体" w:cs="宋体"/>
                <w:color w:val="auto"/>
                <w:sz w:val="24"/>
                <w:highlight w:val="none"/>
              </w:rPr>
              <w:t xml:space="preserve"> 根据</w:t>
            </w:r>
            <w:r>
              <w:rPr>
                <w:rFonts w:hint="eastAsia" w:ascii="宋体" w:hAnsi="宋体" w:eastAsia="宋体" w:cs="宋体"/>
                <w:color w:val="auto"/>
                <w:sz w:val="24"/>
                <w:highlight w:val="none"/>
                <w:lang w:val="en-US" w:eastAsia="zh-CN"/>
              </w:rPr>
              <w:t>投标人</w:t>
            </w:r>
            <w:r>
              <w:rPr>
                <w:rFonts w:hint="eastAsia" w:ascii="宋体" w:hAnsi="宋体" w:eastAsia="宋体" w:cs="宋体"/>
                <w:color w:val="auto"/>
                <w:sz w:val="24"/>
                <w:highlight w:val="none"/>
              </w:rPr>
              <w:t>提供的202</w:t>
            </w: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年1月1日至</w:t>
            </w:r>
            <w:r>
              <w:rPr>
                <w:rFonts w:hint="eastAsia" w:ascii="宋体" w:hAnsi="宋体" w:eastAsia="宋体" w:cs="宋体"/>
                <w:color w:val="auto"/>
                <w:sz w:val="24"/>
                <w:highlight w:val="none"/>
                <w:lang w:val="en-US" w:eastAsia="zh-CN"/>
              </w:rPr>
              <w:t>投标</w:t>
            </w:r>
            <w:r>
              <w:rPr>
                <w:rFonts w:hint="eastAsia" w:ascii="宋体" w:hAnsi="宋体" w:eastAsia="宋体" w:cs="宋体"/>
                <w:color w:val="auto"/>
                <w:sz w:val="24"/>
                <w:highlight w:val="none"/>
              </w:rPr>
              <w:t>截止（以合同签订时间为准）</w:t>
            </w:r>
            <w:r>
              <w:rPr>
                <w:rFonts w:hint="eastAsia" w:ascii="宋体" w:hAnsi="宋体" w:cs="宋体"/>
                <w:color w:val="auto"/>
                <w:sz w:val="24"/>
                <w:highlight w:val="none"/>
              </w:rPr>
              <w:t>同类项目</w:t>
            </w:r>
            <w:r>
              <w:rPr>
                <w:rFonts w:hint="eastAsia" w:ascii="宋体" w:hAnsi="宋体" w:cs="宋体"/>
                <w:color w:val="auto"/>
                <w:kern w:val="2"/>
                <w:sz w:val="24"/>
                <w:highlight w:val="none"/>
                <w:lang w:bidi="ar"/>
              </w:rPr>
              <w:t>（学生宿舍用家具，至少包括组合式公寓家具或公寓组合床或公寓床）</w:t>
            </w:r>
            <w:r>
              <w:rPr>
                <w:rFonts w:hint="eastAsia" w:ascii="宋体" w:hAnsi="宋体" w:eastAsia="宋体" w:cs="宋体"/>
                <w:color w:val="auto"/>
                <w:sz w:val="24"/>
                <w:highlight w:val="none"/>
              </w:rPr>
              <w:t>业绩的业主单位对其履行合同情况及服务质量的评价材料进行评价：提供1份正面评价材料（需体现优秀、优良、良好或满意）</w:t>
            </w:r>
            <w:r>
              <w:rPr>
                <w:rFonts w:hint="eastAsia" w:ascii="宋体" w:hAnsi="宋体" w:cs="宋体"/>
                <w:color w:val="auto"/>
                <w:sz w:val="24"/>
                <w:highlight w:val="none"/>
                <w:lang w:eastAsia="zh-CN"/>
              </w:rPr>
              <w:t>，每项</w:t>
            </w:r>
            <w:r>
              <w:rPr>
                <w:rFonts w:hint="eastAsia" w:ascii="宋体" w:hAnsi="宋体" w:eastAsia="宋体" w:cs="宋体"/>
                <w:color w:val="auto"/>
                <w:sz w:val="24"/>
                <w:highlight w:val="none"/>
              </w:rPr>
              <w:t>得1分</w:t>
            </w:r>
            <w:r>
              <w:rPr>
                <w:rFonts w:hint="eastAsia" w:ascii="宋体" w:hAnsi="宋体" w:cs="宋体"/>
                <w:color w:val="auto"/>
                <w:sz w:val="24"/>
                <w:highlight w:val="none"/>
                <w:lang w:eastAsia="zh-CN"/>
              </w:rPr>
              <w:t>，满分</w:t>
            </w:r>
            <w:r>
              <w:rPr>
                <w:rFonts w:hint="eastAsia" w:ascii="宋体" w:hAnsi="宋体" w:cs="宋体"/>
                <w:color w:val="auto"/>
                <w:sz w:val="24"/>
                <w:highlight w:val="none"/>
                <w:lang w:val="en-US" w:eastAsia="zh-CN"/>
              </w:rPr>
              <w:t>3分</w:t>
            </w:r>
            <w:r>
              <w:rPr>
                <w:rFonts w:hint="eastAsia" w:ascii="宋体" w:hAnsi="宋体" w:eastAsia="宋体" w:cs="宋体"/>
                <w:color w:val="auto"/>
                <w:sz w:val="24"/>
                <w:highlight w:val="none"/>
              </w:rPr>
              <w:t>。正面评价材料包括该业绩的：（1）书面评价书面材料扫描件（体现业主单位公章而非部门章或专用章）； （2）合同文本扫描件。 注：需同时提供以上两项证明材料；未按要求提供完整证明资料的业绩将不予计分。</w:t>
            </w:r>
            <w:r>
              <w:rPr>
                <w:rFonts w:hint="eastAsia" w:ascii="宋体" w:hAnsi="宋体" w:eastAsia="宋体" w:cs="宋体"/>
                <w:color w:val="auto"/>
                <w:sz w:val="24"/>
                <w:highlight w:val="none"/>
                <w:lang w:val="en-US" w:eastAsia="zh-CN"/>
              </w:rPr>
              <w:t>商务评分第5项</w:t>
            </w:r>
            <w:r>
              <w:rPr>
                <w:rFonts w:hint="eastAsia" w:ascii="宋体" w:hAnsi="宋体" w:eastAsia="宋体" w:cs="宋体"/>
                <w:color w:val="auto"/>
                <w:sz w:val="24"/>
                <w:highlight w:val="none"/>
              </w:rPr>
              <w:t>与</w:t>
            </w:r>
            <w:r>
              <w:rPr>
                <w:rFonts w:hint="eastAsia" w:ascii="宋体" w:hAnsi="宋体" w:eastAsia="宋体" w:cs="宋体"/>
                <w:color w:val="auto"/>
                <w:sz w:val="24"/>
                <w:highlight w:val="none"/>
                <w:lang w:val="en-US" w:eastAsia="zh-CN"/>
              </w:rPr>
              <w:t>第6项</w:t>
            </w:r>
            <w:r>
              <w:rPr>
                <w:rFonts w:hint="eastAsia" w:ascii="宋体" w:hAnsi="宋体" w:eastAsia="宋体" w:cs="宋体"/>
                <w:color w:val="auto"/>
                <w:sz w:val="24"/>
                <w:highlight w:val="none"/>
              </w:rPr>
              <w:t>同一业绩不可重复得分。</w:t>
            </w:r>
          </w:p>
        </w:tc>
        <w:tc>
          <w:tcPr>
            <w:tcW w:w="761" w:type="dxa"/>
            <w:tcBorders>
              <w:top w:val="single" w:color="auto" w:sz="4" w:space="0"/>
              <w:left w:val="single" w:color="auto" w:sz="4" w:space="0"/>
              <w:bottom w:val="single" w:color="auto" w:sz="4" w:space="0"/>
              <w:right w:val="single" w:color="auto" w:sz="4" w:space="0"/>
            </w:tcBorders>
            <w:vAlign w:val="center"/>
          </w:tcPr>
          <w:p w14:paraId="09CB7D2D">
            <w:pPr>
              <w:tabs>
                <w:tab w:val="left" w:pos="-1080"/>
                <w:tab w:val="left" w:pos="180"/>
                <w:tab w:val="left" w:pos="1080"/>
                <w:tab w:val="left" w:pos="2370"/>
              </w:tabs>
              <w:spacing w:line="360" w:lineRule="auto"/>
              <w:jc w:val="center"/>
              <w:rPr>
                <w:rFonts w:hint="eastAsia" w:ascii="宋体" w:hAnsi="宋体" w:eastAsia="宋体" w:cs="宋体"/>
                <w:bCs/>
                <w:color w:val="auto"/>
                <w:sz w:val="24"/>
                <w:highlight w:val="none"/>
                <w:lang w:val="en-US" w:eastAsia="zh-CN"/>
              </w:rPr>
            </w:pPr>
            <w:r>
              <w:rPr>
                <w:rFonts w:hint="eastAsia" w:ascii="宋体" w:hAnsi="宋体" w:cs="宋体"/>
                <w:bCs/>
                <w:color w:val="auto"/>
                <w:sz w:val="24"/>
                <w:highlight w:val="none"/>
                <w:lang w:val="en-US" w:eastAsia="zh-CN"/>
              </w:rPr>
              <w:t>3</w:t>
            </w:r>
          </w:p>
        </w:tc>
      </w:tr>
      <w:tr w14:paraId="6F53266C">
        <w:tblPrEx>
          <w:tblCellMar>
            <w:top w:w="0" w:type="dxa"/>
            <w:left w:w="108" w:type="dxa"/>
            <w:bottom w:w="0" w:type="dxa"/>
            <w:right w:w="108" w:type="dxa"/>
          </w:tblCellMar>
        </w:tblPrEx>
        <w:trPr>
          <w:jc w:val="center"/>
        </w:trPr>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14:paraId="5870AB65">
            <w:pPr>
              <w:spacing w:line="360" w:lineRule="auto"/>
              <w:jc w:val="center"/>
              <w:rPr>
                <w:rFonts w:hint="default" w:ascii="宋体" w:hAnsi="宋体" w:cs="宋体"/>
                <w:bCs/>
                <w:color w:val="auto"/>
                <w:szCs w:val="21"/>
                <w:highlight w:val="none"/>
                <w:lang w:val="en-US" w:eastAsia="zh-CN"/>
              </w:rPr>
            </w:pPr>
            <w:r>
              <w:rPr>
                <w:rFonts w:hint="eastAsia" w:ascii="宋体" w:hAnsi="宋体" w:cs="宋体"/>
                <w:bCs/>
                <w:color w:val="auto"/>
                <w:szCs w:val="21"/>
                <w:highlight w:val="none"/>
                <w:lang w:val="en-US" w:eastAsia="zh-CN"/>
              </w:rPr>
              <w:t>7</w:t>
            </w:r>
          </w:p>
        </w:tc>
        <w:tc>
          <w:tcPr>
            <w:tcW w:w="7096" w:type="dxa"/>
            <w:tcBorders>
              <w:top w:val="single" w:color="auto" w:sz="4" w:space="0"/>
              <w:left w:val="single" w:color="auto" w:sz="4" w:space="0"/>
              <w:bottom w:val="single" w:color="auto" w:sz="4" w:space="0"/>
              <w:right w:val="single" w:color="auto" w:sz="4" w:space="0"/>
            </w:tcBorders>
            <w:vAlign w:val="center"/>
          </w:tcPr>
          <w:p w14:paraId="35FCA62E">
            <w:pPr>
              <w:spacing w:line="360" w:lineRule="auto"/>
              <w:rPr>
                <w:rFonts w:hint="eastAsia" w:ascii="宋体" w:hAnsi="宋体" w:cs="宋体"/>
                <w:color w:val="auto"/>
                <w:sz w:val="24"/>
                <w:highlight w:val="none"/>
              </w:rPr>
            </w:pPr>
            <w:r>
              <w:rPr>
                <w:rFonts w:hint="eastAsia" w:ascii="宋体" w:hAnsi="宋体" w:cs="宋体"/>
                <w:color w:val="auto"/>
                <w:sz w:val="24"/>
                <w:highlight w:val="none"/>
              </w:rPr>
              <w:t>根据投标人提供的售后维保方案（须明确具体售后维保的内容、服务人员配备以及售后维保具体手段或工具）进行综合评价：方案描述详细、具体、明确的得1分，方案较为简单的得0.9分，未提供或不可行的不得分。</w:t>
            </w:r>
          </w:p>
        </w:tc>
        <w:tc>
          <w:tcPr>
            <w:tcW w:w="761" w:type="dxa"/>
            <w:tcBorders>
              <w:top w:val="single" w:color="auto" w:sz="4" w:space="0"/>
              <w:left w:val="single" w:color="auto" w:sz="4" w:space="0"/>
              <w:bottom w:val="single" w:color="auto" w:sz="4" w:space="0"/>
              <w:right w:val="single" w:color="auto" w:sz="4" w:space="0"/>
            </w:tcBorders>
            <w:vAlign w:val="center"/>
          </w:tcPr>
          <w:p w14:paraId="093CC800">
            <w:pPr>
              <w:tabs>
                <w:tab w:val="left" w:pos="-1080"/>
                <w:tab w:val="left" w:pos="180"/>
                <w:tab w:val="left" w:pos="1080"/>
                <w:tab w:val="left" w:pos="2370"/>
              </w:tabs>
              <w:spacing w:line="360" w:lineRule="auto"/>
              <w:jc w:val="center"/>
              <w:rPr>
                <w:rFonts w:hint="eastAsia" w:ascii="宋体" w:hAnsi="宋体" w:eastAsia="宋体" w:cs="宋体"/>
                <w:bCs/>
                <w:color w:val="auto"/>
                <w:sz w:val="24"/>
                <w:highlight w:val="none"/>
                <w:lang w:val="en-US" w:eastAsia="zh-CN"/>
              </w:rPr>
            </w:pPr>
            <w:r>
              <w:rPr>
                <w:rFonts w:hint="eastAsia" w:ascii="宋体" w:hAnsi="宋体" w:cs="宋体"/>
                <w:bCs/>
                <w:color w:val="auto"/>
                <w:sz w:val="24"/>
                <w:highlight w:val="none"/>
                <w:lang w:val="en-US" w:eastAsia="zh-CN"/>
              </w:rPr>
              <w:t>1</w:t>
            </w:r>
          </w:p>
        </w:tc>
      </w:tr>
    </w:tbl>
    <w:p w14:paraId="0650A294">
      <w:pPr>
        <w:rPr>
          <w:rFonts w:hint="eastAsia" w:ascii="宋体" w:hAnsi="宋体" w:cs="宋体"/>
          <w:color w:val="auto"/>
          <w:szCs w:val="21"/>
          <w:highlight w:val="none"/>
        </w:rPr>
      </w:pPr>
    </w:p>
    <w:p w14:paraId="1FD676F9">
      <w:pPr>
        <w:rPr>
          <w:rFonts w:hint="eastAsia" w:ascii="宋体" w:hAnsi="宋体" w:cs="宋体"/>
          <w:color w:val="auto"/>
          <w:szCs w:val="21"/>
          <w:highlight w:val="none"/>
        </w:rPr>
      </w:pPr>
    </w:p>
    <w:p w14:paraId="5C415D64">
      <w:pPr>
        <w:tabs>
          <w:tab w:val="left" w:pos="-1080"/>
          <w:tab w:val="left" w:pos="180"/>
          <w:tab w:val="left" w:pos="1080"/>
        </w:tabs>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（三）价格评分(F3)：按30分评分法，评标委员会对各有效标投标报价进行审核确定评标价，并将最低有效标的评标价设为基准价，定其价格得分为30分。按公式：价格得分＝30</w:t>
      </w:r>
      <w:r>
        <w:rPr>
          <w:rFonts w:hint="eastAsia" w:ascii="宋体" w:hAnsi="宋体" w:cs="宋体"/>
          <w:color w:val="auto"/>
          <w:sz w:val="24"/>
          <w:szCs w:val="24"/>
          <w:highlight w:val="none"/>
        </w:rPr>
        <w:sym w:font="Symbol" w:char="00B4"/>
      </w:r>
      <w:r>
        <w:rPr>
          <w:rFonts w:hint="eastAsia" w:ascii="宋体" w:hAnsi="宋体" w:cs="宋体"/>
          <w:color w:val="auto"/>
          <w:sz w:val="24"/>
          <w:szCs w:val="24"/>
          <w:highlight w:val="none"/>
        </w:rPr>
        <w:t xml:space="preserve"> （基准价/各个通过审核的有效投标人的评标价）计算，由此算出各个通过审核的有效投标人的价格得分。</w:t>
      </w:r>
    </w:p>
    <w:p w14:paraId="3E7E36B1">
      <w:pPr>
        <w:spacing w:line="360" w:lineRule="auto"/>
        <w:ind w:firstLine="480" w:firstLineChars="200"/>
        <w:rPr>
          <w:rFonts w:hint="eastAsia" w:ascii="宋体" w:hAnsi="宋体" w:cs="宋体"/>
          <w:b/>
          <w:color w:val="auto"/>
          <w:sz w:val="24"/>
          <w:szCs w:val="24"/>
          <w:highlight w:val="none"/>
        </w:rPr>
      </w:pPr>
      <w:r>
        <w:rPr>
          <w:rFonts w:hint="eastAsia" w:ascii="宋体" w:hAnsi="宋体" w:cs="宋体"/>
          <w:color w:val="auto"/>
          <w:sz w:val="24"/>
          <w:szCs w:val="24"/>
          <w:highlight w:val="none"/>
        </w:rPr>
        <w:t>1、“小型和微型企业产品”的评分政策：投标人提供的货物既有中型企业制造，也有小微企业制造的，不享受办法规定的小微企业扶持政策。</w:t>
      </w:r>
    </w:p>
    <w:p w14:paraId="72412F7D">
      <w:pPr>
        <w:pStyle w:val="7"/>
        <w:spacing w:line="360" w:lineRule="auto"/>
        <w:ind w:firstLine="480" w:firstLineChars="200"/>
        <w:rPr>
          <w:rFonts w:hint="eastAsia" w:hAnsi="宋体" w:cs="宋体"/>
          <w:color w:val="auto"/>
          <w:sz w:val="24"/>
          <w:szCs w:val="24"/>
          <w:highlight w:val="none"/>
        </w:rPr>
      </w:pPr>
      <w:r>
        <w:rPr>
          <w:rFonts w:hint="eastAsia" w:hAnsi="宋体" w:cs="宋体"/>
          <w:color w:val="auto"/>
          <w:sz w:val="24"/>
          <w:szCs w:val="24"/>
          <w:highlight w:val="none"/>
        </w:rPr>
        <w:t>对其提供的小型或微型企业产品的投标报价给予20%的扣除，扣除后的价格作为该投标人的评标价参与价格评分。</w:t>
      </w:r>
    </w:p>
    <w:p w14:paraId="4F315378">
      <w:pPr>
        <w:pStyle w:val="7"/>
        <w:spacing w:line="360" w:lineRule="auto"/>
        <w:ind w:firstLine="480" w:firstLineChars="200"/>
        <w:rPr>
          <w:rFonts w:hint="eastAsia" w:hAnsi="宋体" w:cs="宋体"/>
          <w:color w:val="auto"/>
          <w:sz w:val="24"/>
          <w:szCs w:val="24"/>
          <w:highlight w:val="none"/>
        </w:rPr>
      </w:pPr>
      <w:r>
        <w:rPr>
          <w:rFonts w:hint="eastAsia" w:hAnsi="宋体" w:cs="宋体"/>
          <w:color w:val="auto"/>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采购单位、采购代理机构应当对联合体或者大中型企业的报价给予6%的扣除，用扣除后的价格参加评审。</w:t>
      </w:r>
    </w:p>
    <w:p w14:paraId="106A80BA">
      <w:pPr>
        <w:pStyle w:val="12"/>
        <w:numPr>
          <w:ilvl w:val="255"/>
          <w:numId w:val="0"/>
        </w:num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司法部关于政府采购支持监狱企业发展有关问题的通知》（财库〔2014〕68号）有关规定，监狱企业视同小型、微型企业。根据《财政部 民政部 中国残疾人联合会关于促进残疾人就业政府采购政策的通知》（财库[2017]141号），残疾人福利性单位视同小型、微型企业。残疾人福利性单位属于小型、微型企业的，不重复享受政策。</w:t>
      </w:r>
    </w:p>
    <w:p w14:paraId="39573C52">
      <w:pPr>
        <w:numPr>
          <w:ilvl w:val="255"/>
          <w:numId w:val="0"/>
        </w:num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2、节能、环境标志产品价格扣除：</w:t>
      </w:r>
    </w:p>
    <w:p w14:paraId="5105916F">
      <w:pPr>
        <w:numPr>
          <w:ilvl w:val="255"/>
          <w:numId w:val="0"/>
        </w:num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采购的产品属于节能产品、环境标志产品政府采购品目清单范围的，依据国家确定的认证机构出具的、处于有效期之内的节能产品、环境标志产品认证证书，对获得证书的产品实施政府优先采购。对节能产品、环境标志产品政府采购品目清单范围内，实施优先采购的产品，给予产品价格报价10%的扣除，用扣除后的价格参加评审。采购标的同时包含其它非优先采购产品的，投标人须对优先采购产品和非优先采购产品进行分项报价，非优先采购产品的报价不得享受给予节能产品、环境标志产品的价格扣除优惠。</w:t>
      </w:r>
    </w:p>
    <w:p w14:paraId="4E9B0880">
      <w:pPr>
        <w:numPr>
          <w:ilvl w:val="255"/>
          <w:numId w:val="0"/>
        </w:num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具体要求如下：</w:t>
      </w:r>
    </w:p>
    <w:p w14:paraId="669829FD">
      <w:pPr>
        <w:numPr>
          <w:ilvl w:val="255"/>
          <w:numId w:val="0"/>
        </w:num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采购的产品属于《节能产品政府采购品目清单》范围内的产品或《环境标志产品政府采购品目清单》范围内的产品，且供应商提供的产品已取得节能（强制采购节能产品的除外）、环境标志产品认证证书（处于有效期内）。</w:t>
      </w:r>
    </w:p>
    <w:p w14:paraId="01992ED2">
      <w:pPr>
        <w:numPr>
          <w:ilvl w:val="255"/>
          <w:numId w:val="0"/>
        </w:num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（2）投标人应分别明确节能或环境标志产品的名称、数量、分项报价、总报价，并提供认证证书</w:t>
      </w:r>
      <w:r>
        <w:rPr>
          <w:rFonts w:hint="eastAsia" w:ascii="宋体" w:hAnsi="宋体" w:cs="宋体"/>
          <w:color w:val="auto"/>
          <w:sz w:val="24"/>
          <w:szCs w:val="24"/>
          <w:highlight w:val="none"/>
          <w:lang w:eastAsia="zh-CN"/>
        </w:rPr>
        <w:t>复印件（含扫描件）</w:t>
      </w:r>
      <w:r>
        <w:rPr>
          <w:rFonts w:hint="eastAsia" w:ascii="宋体" w:hAnsi="宋体" w:cs="宋体"/>
          <w:color w:val="auto"/>
          <w:sz w:val="24"/>
          <w:szCs w:val="24"/>
          <w:highlight w:val="none"/>
        </w:rPr>
        <w:t>，否则不予价格扣除。若节能产品、环境标志产品认证证书不能反映产品具体信息的，须提供认证证书附件。此外，若投标人对节能或环境标志产品的报价明显高于其他同类产品的报价，投标人应按评标委员会要求作出说明并提供相关证明材料，不能合理说明或不能提供相关证明材料的，不予价格扣除。</w:t>
      </w:r>
    </w:p>
    <w:p w14:paraId="2A586245">
      <w:pPr>
        <w:widowControl/>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若节能、环境标志产品仅是构成投标产品的部件、组件或零件，则该投标产品不享受鼓励优惠政策。属于政府强制采购的节能产品不享受价格扣除优惠。若投标产品既属于节能产品又属于环境标志产品，分别计算价格扣除优惠。</w:t>
      </w:r>
    </w:p>
    <w:p w14:paraId="550F02A5">
      <w:pPr>
        <w:pStyle w:val="11"/>
        <w:keepNext w:val="0"/>
        <w:keepLines w:val="0"/>
        <w:widowControl/>
        <w:suppressLineNumbers w:val="0"/>
        <w:pBdr>
          <w:top w:val="none" w:color="auto" w:sz="0" w:space="0"/>
          <w:left w:val="none" w:color="auto" w:sz="0" w:space="0"/>
          <w:bottom w:val="none" w:color="auto" w:sz="0" w:space="0"/>
          <w:right w:val="none" w:color="auto" w:sz="0" w:space="0"/>
        </w:pBdr>
        <w:autoSpaceDE w:val="0"/>
        <w:autoSpaceDN/>
        <w:spacing w:before="24" w:beforeAutospacing="0" w:after="24" w:afterAutospacing="0" w:line="360" w:lineRule="auto"/>
        <w:ind w:left="0" w:right="0" w:firstLine="420"/>
        <w:jc w:val="left"/>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3、</w:t>
      </w:r>
      <w:r>
        <w:rPr>
          <w:rStyle w:val="19"/>
          <w:rFonts w:hint="eastAsia" w:ascii="宋体" w:hAnsi="宋体" w:eastAsia="宋体" w:cs="宋体"/>
          <w:color w:val="auto"/>
          <w:kern w:val="2"/>
          <w:sz w:val="24"/>
          <w:szCs w:val="24"/>
          <w:highlight w:val="none"/>
          <w:lang w:val="en-US" w:eastAsia="zh-CN" w:bidi="ar"/>
        </w:rPr>
        <w:t>对本国产品的支持政策</w:t>
      </w:r>
      <w:r>
        <w:rPr>
          <w:rFonts w:hint="eastAsia" w:ascii="宋体" w:hAnsi="宋体" w:eastAsia="宋体" w:cs="宋体"/>
          <w:color w:val="auto"/>
          <w:kern w:val="2"/>
          <w:sz w:val="24"/>
          <w:szCs w:val="24"/>
          <w:highlight w:val="none"/>
          <w:lang w:val="en-US" w:eastAsia="zh-CN" w:bidi="ar"/>
        </w:rPr>
        <w:t>：</w:t>
      </w:r>
    </w:p>
    <w:p w14:paraId="06BE7FE2">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24" w:beforeAutospacing="0" w:after="24" w:afterAutospacing="0" w:line="360" w:lineRule="auto"/>
        <w:ind w:left="0" w:right="0" w:firstLine="42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政府采购活动中既有本国产品又有非本国产品参与竞争的，依法对本国产品给予价格评审优惠，对本国产品的报价给予20%的价格扣除，用扣除后的价格参与评审。</w:t>
      </w:r>
    </w:p>
    <w:p w14:paraId="576EB1A4">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24" w:beforeAutospacing="0" w:after="24" w:afterAutospacing="0" w:line="360" w:lineRule="auto"/>
        <w:ind w:left="0" w:right="0" w:firstLine="42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2525D140">
      <w:pPr>
        <w:keepNext w:val="0"/>
        <w:keepLines w:val="0"/>
        <w:widowControl w:val="0"/>
        <w:suppressLineNumbers w:val="0"/>
        <w:tabs>
          <w:tab w:val="left" w:pos="-1080"/>
          <w:tab w:val="left" w:pos="180"/>
          <w:tab w:val="left" w:pos="1080"/>
        </w:tabs>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未提供《关于符合本国产品标准的声明函》的不给予价格评审优惠。</w:t>
      </w:r>
    </w:p>
    <w:p w14:paraId="0AB4944C">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kern w:val="2"/>
          <w:sz w:val="24"/>
          <w:szCs w:val="24"/>
          <w:highlight w:val="none"/>
          <w:lang w:val="en-US" w:eastAsia="zh-CN"/>
        </w:rPr>
        <w:t>4、</w:t>
      </w:r>
      <w:r>
        <w:rPr>
          <w:rFonts w:hint="eastAsia" w:ascii="宋体" w:hAnsi="宋体" w:eastAsia="宋体" w:cs="宋体"/>
          <w:color w:val="auto"/>
          <w:sz w:val="24"/>
          <w:szCs w:val="24"/>
          <w:highlight w:val="none"/>
          <w:lang w:eastAsia="zh-CN"/>
        </w:rPr>
        <w:t>政府采购评审中出现下列情形之一的，评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委员会应当启动异常低价投标审查程序：</w:t>
      </w:r>
    </w:p>
    <w:p w14:paraId="73F2BEBD">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（1）投标报价低于全部通过符合性审</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投标报价平均值50%的，即投标报价&lt;全部通过符合性审查</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投标报价平均值×50%；</w:t>
      </w:r>
    </w:p>
    <w:p w14:paraId="30CF82CE">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）投标报价低于通过符合性审查的次低报价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投标报价50%的，即投标报价&lt;通过符合性审查的次低报价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投标报价×50%；</w:t>
      </w:r>
    </w:p>
    <w:p w14:paraId="29B0D4DC">
      <w:pPr>
        <w:widowControl w:val="0"/>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）投标报价低于采购项目最高限价45%的，即投标报价&lt;采购项目最高限价×45%；</w:t>
      </w:r>
    </w:p>
    <w:p w14:paraId="2E2B71A9">
      <w:p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委员会基于专业判断，认为</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报价过低，有可能影响产品质量或者不能诚信履约的其他情形。</w:t>
      </w:r>
    </w:p>
    <w:p w14:paraId="00B2799D">
      <w:pP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（四）综合得分= F1+ F2 + F3 。</w:t>
      </w:r>
    </w:p>
    <w:p w14:paraId="04319016">
      <w:pPr>
        <w:pStyle w:val="7"/>
        <w:spacing w:line="360" w:lineRule="auto"/>
        <w:ind w:firstLine="840"/>
        <w:rPr>
          <w:rFonts w:hint="eastAsia" w:hAnsi="宋体" w:cs="宋体"/>
          <w:bCs/>
          <w:color w:val="auto"/>
          <w:sz w:val="24"/>
          <w:szCs w:val="24"/>
          <w:highlight w:val="none"/>
        </w:rPr>
      </w:pPr>
      <w:r>
        <w:rPr>
          <w:rFonts w:hint="eastAsia" w:hAnsi="宋体" w:cs="宋体"/>
          <w:bCs/>
          <w:color w:val="auto"/>
          <w:sz w:val="24"/>
          <w:szCs w:val="24"/>
          <w:highlight w:val="none"/>
        </w:rPr>
        <w:t>备注：1、技术商务评分中涉及排名情况的评分由评标委员会根据各投标人投标文件的响应情况进行综合评议得出排名。</w:t>
      </w:r>
    </w:p>
    <w:p w14:paraId="1B2732A4">
      <w:pPr>
        <w:pStyle w:val="7"/>
        <w:ind w:firstLine="720" w:firstLineChars="300"/>
        <w:rPr>
          <w:rFonts w:hint="eastAsia" w:hAnsi="宋体" w:cs="宋体"/>
          <w:color w:val="auto"/>
          <w:sz w:val="32"/>
          <w:szCs w:val="32"/>
          <w:highlight w:val="none"/>
        </w:rPr>
      </w:pPr>
      <w:r>
        <w:rPr>
          <w:rFonts w:hint="eastAsia" w:hAnsi="宋体" w:cs="宋体"/>
          <w:color w:val="auto"/>
          <w:sz w:val="24"/>
          <w:szCs w:val="24"/>
          <w:highlight w:val="none"/>
        </w:rPr>
        <w:t>2、业绩作为评分条件的，投标人须提供该业绩项目的中标（成交）公告（提供相关网站中标（成交）公告的下载网页的扫描件及其网址）、中标（成交）通知书扫描件、采购合同文本扫描件，以及能够证明该业绩项目已经采购单位验收合格的相关证明文件扫描件，原件备查；如未按招标文件要求提供该项业绩完整资料的，评标委员会对该项业绩将不予采信。</w:t>
      </w:r>
    </w:p>
    <w:p w14:paraId="5494CD6E">
      <w:pPr>
        <w:spacing w:line="360" w:lineRule="auto"/>
        <w:ind w:firstLine="1600" w:firstLineChars="500"/>
        <w:rPr>
          <w:rFonts w:hint="eastAsia" w:ascii="宋体" w:hAnsi="宋体" w:cs="宋体"/>
          <w:color w:val="auto"/>
          <w:sz w:val="32"/>
          <w:szCs w:val="32"/>
          <w:highlight w:val="none"/>
        </w:rPr>
      </w:pPr>
    </w:p>
    <w:p w14:paraId="3FFBE6B9">
      <w:pPr>
        <w:rPr>
          <w:rFonts w:hint="eastAsia" w:ascii="宋体" w:hAnsi="宋体" w:cs="宋体"/>
          <w:color w:val="auto"/>
          <w:sz w:val="32"/>
          <w:szCs w:val="32"/>
          <w:highlight w:val="none"/>
        </w:rPr>
      </w:pPr>
      <w:r>
        <w:rPr>
          <w:rFonts w:hint="eastAsia" w:ascii="宋体" w:hAnsi="宋体" w:cs="宋体"/>
          <w:color w:val="auto"/>
          <w:sz w:val="32"/>
          <w:szCs w:val="32"/>
          <w:highlight w:val="none"/>
        </w:rPr>
        <w:br w:type="page"/>
      </w:r>
    </w:p>
    <w:p w14:paraId="638F0C85">
      <w:pPr>
        <w:spacing w:line="360" w:lineRule="auto"/>
        <w:ind w:firstLine="1600" w:firstLineChars="500"/>
        <w:rPr>
          <w:rFonts w:hint="eastAsia" w:ascii="宋体" w:hAnsi="宋体" w:cs="宋体"/>
          <w:color w:val="auto"/>
          <w:sz w:val="32"/>
          <w:szCs w:val="32"/>
          <w:highlight w:val="none"/>
        </w:rPr>
      </w:pPr>
      <w:r>
        <w:rPr>
          <w:rFonts w:hint="eastAsia" w:ascii="宋体" w:hAnsi="宋体" w:cs="宋体"/>
          <w:color w:val="auto"/>
          <w:sz w:val="32"/>
          <w:szCs w:val="32"/>
          <w:highlight w:val="none"/>
        </w:rPr>
        <w:t>投标人须知前附表4：中小企业优惠办法</w:t>
      </w:r>
    </w:p>
    <w:tbl>
      <w:tblPr>
        <w:tblStyle w:val="13"/>
        <w:tblW w:w="8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77"/>
        <w:gridCol w:w="6063"/>
      </w:tblGrid>
      <w:tr w14:paraId="722EA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00" w:type="dxa"/>
            <w:vAlign w:val="center"/>
          </w:tcPr>
          <w:p w14:paraId="355DBDDF">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序号</w:t>
            </w:r>
          </w:p>
        </w:tc>
        <w:tc>
          <w:tcPr>
            <w:tcW w:w="1677" w:type="dxa"/>
            <w:vAlign w:val="center"/>
          </w:tcPr>
          <w:p w14:paraId="5ED29F0D">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项目</w:t>
            </w:r>
          </w:p>
        </w:tc>
        <w:tc>
          <w:tcPr>
            <w:tcW w:w="6063" w:type="dxa"/>
            <w:vAlign w:val="center"/>
          </w:tcPr>
          <w:p w14:paraId="46F53FCA">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具体内容</w:t>
            </w:r>
          </w:p>
        </w:tc>
      </w:tr>
      <w:tr w14:paraId="70A24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900" w:type="dxa"/>
            <w:vAlign w:val="center"/>
          </w:tcPr>
          <w:p w14:paraId="362DE332">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w:t>
            </w:r>
          </w:p>
        </w:tc>
        <w:tc>
          <w:tcPr>
            <w:tcW w:w="1677" w:type="dxa"/>
            <w:vAlign w:val="center"/>
          </w:tcPr>
          <w:p w14:paraId="4BDCF0EF">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本项目是否属于预留份额专门面向中小企业采购活动：</w:t>
            </w:r>
          </w:p>
        </w:tc>
        <w:tc>
          <w:tcPr>
            <w:tcW w:w="6063" w:type="dxa"/>
            <w:vAlign w:val="center"/>
          </w:tcPr>
          <w:p w14:paraId="52759D20">
            <w:pPr>
              <w:spacing w:line="360" w:lineRule="auto"/>
              <w:rPr>
                <w:rFonts w:hint="eastAsia"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是/</w:t>
            </w:r>
            <w:r>
              <w:rPr>
                <w:rFonts w:hint="eastAsia" w:ascii="宋体" w:hAnsi="宋体" w:cs="宋体"/>
                <w:b/>
                <w:color w:val="auto"/>
                <w:sz w:val="24"/>
                <w:szCs w:val="24"/>
                <w:highlight w:val="none"/>
              </w:rPr>
              <w:t>□</w:t>
            </w:r>
            <w:r>
              <w:rPr>
                <w:rFonts w:hint="eastAsia" w:ascii="宋体" w:hAnsi="宋体" w:cs="宋体"/>
                <w:color w:val="auto"/>
                <w:sz w:val="24"/>
                <w:szCs w:val="24"/>
                <w:highlight w:val="none"/>
              </w:rPr>
              <w:t xml:space="preserve"> 否</w:t>
            </w:r>
          </w:p>
        </w:tc>
      </w:tr>
      <w:tr w14:paraId="753DB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900" w:type="dxa"/>
            <w:vAlign w:val="center"/>
          </w:tcPr>
          <w:p w14:paraId="4AAB3459">
            <w:pPr>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2</w:t>
            </w:r>
          </w:p>
        </w:tc>
        <w:tc>
          <w:tcPr>
            <w:tcW w:w="1677" w:type="dxa"/>
            <w:vAlign w:val="center"/>
          </w:tcPr>
          <w:p w14:paraId="46D32F23">
            <w:pPr>
              <w:spacing w:line="360" w:lineRule="auto"/>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中小企业的认定标准</w:t>
            </w:r>
          </w:p>
        </w:tc>
        <w:tc>
          <w:tcPr>
            <w:tcW w:w="6063" w:type="dxa"/>
          </w:tcPr>
          <w:p w14:paraId="096B0F57">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中小企业参加政府采购活动，应当出具《中小企业声明函》，否则不得享受相关中小企业扶持政策。</w:t>
            </w:r>
          </w:p>
          <w:p w14:paraId="17408480">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须满足以下条件，才能认定为中小企业</w:t>
            </w:r>
            <w:r>
              <w:rPr>
                <w:rFonts w:hint="eastAsia" w:ascii="宋体" w:hAnsi="宋体" w:cs="宋体"/>
                <w:b/>
                <w:color w:val="auto"/>
                <w:sz w:val="24"/>
                <w:szCs w:val="24"/>
                <w:highlight w:val="none"/>
              </w:rPr>
              <w:t>（含中型、小型、微型企业，下同）</w:t>
            </w:r>
            <w:r>
              <w:rPr>
                <w:rFonts w:hint="eastAsia" w:ascii="宋体" w:hAnsi="宋体" w:cs="宋体"/>
                <w:color w:val="auto"/>
                <w:sz w:val="24"/>
                <w:szCs w:val="24"/>
                <w:highlight w:val="none"/>
              </w:rPr>
              <w:t>：</w:t>
            </w:r>
          </w:p>
          <w:p w14:paraId="337D165D">
            <w:pPr>
              <w:spacing w:line="360" w:lineRule="auto"/>
              <w:ind w:firstLine="480" w:firstLineChars="200"/>
              <w:rPr>
                <w:rFonts w:hint="eastAsia" w:ascii="宋体" w:hAnsi="宋体" w:cs="宋体"/>
                <w:color w:val="auto"/>
                <w:sz w:val="24"/>
                <w:szCs w:val="24"/>
                <w:highlight w:val="none"/>
              </w:rPr>
            </w:pPr>
            <w:r>
              <w:rPr>
                <w:rFonts w:hint="eastAsia" w:ascii="宋体" w:hAnsi="宋体" w:cs="宋体"/>
                <w:bCs/>
                <w:color w:val="auto"/>
                <w:sz w:val="24"/>
                <w:szCs w:val="24"/>
                <w:highlight w:val="none"/>
              </w:rPr>
              <w:t>《政府采购促进中小企业发展管理办法》（财库〔2020〕46号）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tc>
      </w:tr>
      <w:tr w14:paraId="525EB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7" w:hRule="atLeast"/>
          <w:jc w:val="center"/>
        </w:trPr>
        <w:tc>
          <w:tcPr>
            <w:tcW w:w="900" w:type="dxa"/>
            <w:vAlign w:val="center"/>
          </w:tcPr>
          <w:p w14:paraId="7B4529AB">
            <w:pPr>
              <w:widowControl/>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3</w:t>
            </w:r>
          </w:p>
        </w:tc>
        <w:tc>
          <w:tcPr>
            <w:tcW w:w="1677" w:type="dxa"/>
            <w:vAlign w:val="center"/>
          </w:tcPr>
          <w:p w14:paraId="2B5AE94E">
            <w:pPr>
              <w:widowControl/>
              <w:spacing w:line="360" w:lineRule="auto"/>
              <w:ind w:left="-65" w:leftChars="-31" w:firstLine="475" w:firstLineChars="205"/>
              <w:jc w:val="left"/>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优惠办法：</w:t>
            </w:r>
          </w:p>
        </w:tc>
        <w:tc>
          <w:tcPr>
            <w:tcW w:w="6063" w:type="dxa"/>
            <w:tcBorders>
              <w:bottom w:val="single" w:color="auto" w:sz="4" w:space="0"/>
            </w:tcBorders>
          </w:tcPr>
          <w:p w14:paraId="442D0D41">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投标产品为中小企业（含中型、小型、微型企业，下同）生产：</w:t>
            </w:r>
          </w:p>
          <w:p w14:paraId="55DC57B2">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①投标保证金：全免</w:t>
            </w:r>
          </w:p>
          <w:p w14:paraId="3FF39587">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②履约保证金：按约定比例的50%支付（如果有的话）</w:t>
            </w:r>
          </w:p>
          <w:p w14:paraId="09D483F2">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③代理服务费：按招标文件规定的收费标准下调10%</w:t>
            </w:r>
          </w:p>
          <w:p w14:paraId="6E86C9F2">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④缩短付款时间</w:t>
            </w:r>
          </w:p>
          <w:p w14:paraId="3CC4B547">
            <w:pPr>
              <w:spacing w:line="360" w:lineRule="auto"/>
              <w:ind w:left="-65" w:leftChars="-31" w:firstLine="475" w:firstLineChars="205"/>
              <w:rPr>
                <w:rFonts w:hint="eastAsia" w:ascii="宋体" w:hAnsi="宋体" w:cs="宋体"/>
                <w:color w:val="auto"/>
                <w:spacing w:val="-4"/>
                <w:sz w:val="24"/>
                <w:szCs w:val="24"/>
                <w:highlight w:val="none"/>
              </w:rPr>
            </w:pPr>
          </w:p>
          <w:p w14:paraId="729584E8">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投标产品为小型企业或微型企业生产：</w:t>
            </w:r>
          </w:p>
          <w:p w14:paraId="44016E01">
            <w:pPr>
              <w:spacing w:line="360" w:lineRule="auto"/>
              <w:ind w:left="-65" w:leftChars="-31"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投标人提供的货物既有中型企业制造，也有小微企业制造的，不享受办法规定的小微企业扶持政策。</w:t>
            </w:r>
          </w:p>
          <w:p w14:paraId="22E28D76">
            <w:pPr>
              <w:spacing w:line="360" w:lineRule="auto"/>
              <w:ind w:left="-65" w:leftChars="-31" w:firstLine="475" w:firstLineChars="205"/>
              <w:rPr>
                <w:rFonts w:hint="eastAsia" w:ascii="宋体" w:hAnsi="宋体" w:cs="宋体"/>
                <w:color w:val="auto"/>
                <w:spacing w:val="-4"/>
                <w:sz w:val="24"/>
                <w:szCs w:val="24"/>
                <w:highlight w:val="none"/>
              </w:rPr>
            </w:pPr>
            <w:r>
              <w:rPr>
                <w:rFonts w:ascii="宋体" w:hAnsi="宋体" w:cs="宋体"/>
                <w:color w:val="auto"/>
                <w:spacing w:val="-4"/>
                <w:sz w:val="24"/>
                <w:szCs w:val="24"/>
                <w:highlight w:val="none"/>
              </w:rPr>
              <w:t>对其提供的小型或微型企业产品的投标报价给予20%的扣除，扣除后的价格作为该投标人的评标价参与价格评分。</w:t>
            </w:r>
          </w:p>
          <w:p w14:paraId="33098B2B">
            <w:pPr>
              <w:spacing w:line="360" w:lineRule="auto"/>
              <w:ind w:left="-65" w:leftChars="-31" w:firstLine="475" w:firstLineChars="205"/>
              <w:rPr>
                <w:rFonts w:hint="eastAsia" w:ascii="宋体" w:hAnsi="宋体" w:cs="宋体"/>
                <w:color w:val="auto"/>
                <w:spacing w:val="-4"/>
                <w:sz w:val="24"/>
                <w:szCs w:val="24"/>
                <w:highlight w:val="none"/>
              </w:rPr>
            </w:pPr>
            <w:r>
              <w:rPr>
                <w:rFonts w:ascii="宋体" w:hAnsi="宋体" w:cs="宋体"/>
                <w:color w:val="auto"/>
                <w:spacing w:val="-4"/>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采购单位、采购代理机构应当对联合体或者大中型企业的报价给予6%的扣除，用扣除后的价格参加评审。</w:t>
            </w:r>
          </w:p>
          <w:p w14:paraId="66C5909B">
            <w:pPr>
              <w:spacing w:line="360" w:lineRule="auto"/>
              <w:ind w:left="-65" w:leftChars="-31" w:firstLine="475" w:firstLineChars="205"/>
              <w:rPr>
                <w:rFonts w:hint="eastAsia" w:ascii="宋体" w:hAnsi="宋体" w:cs="宋体"/>
                <w:color w:val="auto"/>
                <w:spacing w:val="-4"/>
                <w:sz w:val="24"/>
                <w:szCs w:val="24"/>
                <w:highlight w:val="none"/>
              </w:rPr>
            </w:pPr>
            <w:r>
              <w:rPr>
                <w:rFonts w:ascii="宋体" w:hAnsi="宋体" w:cs="宋体"/>
                <w:color w:val="auto"/>
                <w:spacing w:val="-4"/>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司法部关于政府采购支持监狱企业发展有关问题的通知》（财库〔2014〕68号）有关规定，监狱企业视同小型、微型企业。根据《财政部 民政部 中国残疾人联合会关于促进残疾人就业政府采购政策的通知》（财库[2017]141号），残疾人福利性单位视同小型、微型企业。残疾人福利性单位属于小型、微型企业的，不重复享受政策。</w:t>
            </w:r>
          </w:p>
          <w:p w14:paraId="6A4E11C4">
            <w:pPr>
              <w:spacing w:line="360" w:lineRule="auto"/>
              <w:ind w:left="-65" w:leftChars="-31" w:firstLine="475" w:firstLineChars="205"/>
              <w:rPr>
                <w:rFonts w:hint="eastAsia" w:ascii="宋体" w:hAnsi="宋体" w:cs="宋体"/>
                <w:color w:val="auto"/>
                <w:spacing w:val="-4"/>
                <w:sz w:val="24"/>
                <w:szCs w:val="24"/>
                <w:highlight w:val="none"/>
              </w:rPr>
            </w:pPr>
            <w:r>
              <w:rPr>
                <w:rFonts w:ascii="宋体" w:hAnsi="宋体" w:cs="宋体"/>
                <w:color w:val="auto"/>
                <w:spacing w:val="-4"/>
                <w:sz w:val="24"/>
                <w:szCs w:val="24"/>
                <w:highlight w:val="none"/>
              </w:rPr>
              <w:t>若本项目属于预留份额专门面向中小企业采购活动，不再执行价格评审优惠的扶持政策。</w:t>
            </w:r>
          </w:p>
          <w:p w14:paraId="6DFBA089">
            <w:pPr>
              <w:ind w:left="-65" w:leftChars="-31" w:firstLine="475" w:firstLineChars="205"/>
              <w:rPr>
                <w:rFonts w:hint="eastAsia" w:ascii="宋体" w:hAnsi="宋体" w:cs="宋体"/>
                <w:color w:val="auto"/>
                <w:spacing w:val="-4"/>
                <w:sz w:val="24"/>
                <w:szCs w:val="24"/>
                <w:highlight w:val="none"/>
              </w:rPr>
            </w:pPr>
          </w:p>
        </w:tc>
      </w:tr>
      <w:tr w14:paraId="6A3E8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vAlign w:val="center"/>
          </w:tcPr>
          <w:p w14:paraId="01D278CB">
            <w:pPr>
              <w:widowControl/>
              <w:spacing w:line="360" w:lineRule="auto"/>
              <w:jc w:val="center"/>
              <w:rPr>
                <w:rFonts w:hint="eastAsia" w:ascii="宋体" w:hAnsi="宋体" w:cs="宋体"/>
                <w:b/>
                <w:dstrike/>
                <w:color w:val="auto"/>
                <w:sz w:val="24"/>
                <w:szCs w:val="24"/>
                <w:highlight w:val="none"/>
              </w:rPr>
            </w:pPr>
            <w:r>
              <w:rPr>
                <w:rFonts w:hint="eastAsia" w:ascii="宋体" w:hAnsi="宋体" w:cs="宋体"/>
                <w:b/>
                <w:color w:val="auto"/>
                <w:sz w:val="24"/>
                <w:szCs w:val="24"/>
                <w:highlight w:val="none"/>
              </w:rPr>
              <w:t>4</w:t>
            </w:r>
          </w:p>
        </w:tc>
        <w:tc>
          <w:tcPr>
            <w:tcW w:w="1677" w:type="dxa"/>
            <w:vAlign w:val="center"/>
          </w:tcPr>
          <w:p w14:paraId="3482E546">
            <w:pPr>
              <w:pStyle w:val="11"/>
              <w:spacing w:before="0" w:beforeAutospacing="0" w:after="0" w:afterAutospacing="0" w:line="360" w:lineRule="auto"/>
              <w:rPr>
                <w:rFonts w:hint="eastAsia"/>
                <w:color w:val="auto"/>
                <w:highlight w:val="none"/>
              </w:rPr>
            </w:pPr>
            <w:r>
              <w:rPr>
                <w:rFonts w:hint="eastAsia"/>
                <w:color w:val="auto"/>
                <w:highlight w:val="none"/>
              </w:rPr>
              <w:t>本项目对应的中小企业划分标准所属工业</w:t>
            </w:r>
            <w:r>
              <w:rPr>
                <w:rFonts w:hint="eastAsia"/>
                <w:color w:val="auto"/>
                <w:highlight w:val="none"/>
                <w:u w:val="single"/>
              </w:rPr>
              <w:t>。</w:t>
            </w:r>
          </w:p>
        </w:tc>
        <w:tc>
          <w:tcPr>
            <w:tcW w:w="6063" w:type="dxa"/>
            <w:tcBorders>
              <w:bottom w:val="single" w:color="auto" w:sz="4" w:space="0"/>
            </w:tcBorders>
          </w:tcPr>
          <w:p w14:paraId="0480450E">
            <w:pPr>
              <w:spacing w:line="360" w:lineRule="auto"/>
              <w:rPr>
                <w:rFonts w:hint="eastAsia" w:ascii="宋体" w:hAnsi="宋体" w:cs="宋体"/>
                <w:dstrike/>
                <w:color w:val="auto"/>
                <w:sz w:val="24"/>
                <w:szCs w:val="24"/>
                <w:highlight w:val="none"/>
                <w:u w:val="single"/>
              </w:rPr>
            </w:pPr>
            <w:r>
              <w:rPr>
                <w:rFonts w:hint="eastAsia" w:ascii="宋体" w:hAnsi="宋体" w:cs="宋体"/>
                <w:color w:val="auto"/>
                <w:sz w:val="24"/>
                <w:szCs w:val="24"/>
                <w:highlight w:val="none"/>
              </w:rPr>
              <w:t>现行中小企业划分标准行业包括农、林、牧、渔业，工业，建筑业，批发业，零售业，交通运输业，仓储业，邮政业，住宿业，餐饮业，信息传输业，软件和信息技术服务业，房地产开发经营，物业管理，租赁和商务服务业和其他未列明行业等十六类。</w:t>
            </w:r>
          </w:p>
        </w:tc>
      </w:tr>
      <w:tr w14:paraId="7ECC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vAlign w:val="center"/>
          </w:tcPr>
          <w:p w14:paraId="6129D5D0">
            <w:pPr>
              <w:widowControl/>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5</w:t>
            </w:r>
          </w:p>
        </w:tc>
        <w:tc>
          <w:tcPr>
            <w:tcW w:w="1677" w:type="dxa"/>
            <w:vAlign w:val="center"/>
          </w:tcPr>
          <w:p w14:paraId="430F6B87">
            <w:pPr>
              <w:widowControl/>
              <w:spacing w:line="360" w:lineRule="auto"/>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相关风险</w:t>
            </w:r>
          </w:p>
        </w:tc>
        <w:tc>
          <w:tcPr>
            <w:tcW w:w="6063" w:type="dxa"/>
            <w:tcBorders>
              <w:bottom w:val="single" w:color="auto" w:sz="4" w:space="0"/>
            </w:tcBorders>
          </w:tcPr>
          <w:p w14:paraId="72F44F01">
            <w:pP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一、经评标委员会评审，存在下列任一情况的，投标人将不被视为中小企业：</w:t>
            </w:r>
          </w:p>
          <w:p w14:paraId="20BC83A1">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1.投标货物全部或部分为使用大型企业注册商标的货物的；</w:t>
            </w:r>
          </w:p>
          <w:p w14:paraId="7C0B93B4">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2.投标文件中标明的中小企业产品的制造商不符合“工信部联企业[2011]300号”规定的中小企业标准的；</w:t>
            </w:r>
          </w:p>
          <w:p w14:paraId="638701A2">
            <w:pPr>
              <w:spacing w:line="360" w:lineRule="auto"/>
              <w:ind w:firstLine="482" w:firstLineChars="200"/>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二、提供虚假声明后果：</w:t>
            </w:r>
          </w:p>
          <w:p w14:paraId="3613D4D0">
            <w:pPr>
              <w:widowControl/>
              <w:spacing w:line="360" w:lineRule="auto"/>
              <w:rPr>
                <w:rFonts w:hint="eastAsia" w:ascii="宋体" w:hAnsi="宋体" w:cs="宋体"/>
                <w:b/>
                <w:i/>
                <w:color w:val="auto"/>
                <w:kern w:val="0"/>
                <w:sz w:val="24"/>
                <w:szCs w:val="24"/>
                <w:highlight w:val="none"/>
                <w:u w:val="single"/>
              </w:rPr>
            </w:pPr>
            <w:r>
              <w:rPr>
                <w:rFonts w:hint="eastAsia" w:ascii="宋体" w:hAnsi="宋体" w:cs="宋体"/>
                <w:color w:val="auto"/>
                <w:kern w:val="0"/>
                <w:sz w:val="24"/>
                <w:szCs w:val="24"/>
                <w:highlight w:val="none"/>
              </w:rPr>
              <w:t>投标人为取得中小企业身份而提供虚假声明，在评审过程中发现的，按无效投标处理，投标保证金不予退还；已取得中标资格的，无论该行为是否影响中标，均取消其中标资格，投标保证金、代理服务费不予退还，该投标人还应承担由此引起的其他经济、法律责任。出现此种情形时，采购单位、招标代理机构将有关情况上报政府采购监管部门，由监管部门按有关规定对其进行相应处罚。采购单位、招标代理机构</w:t>
            </w:r>
            <w:r>
              <w:rPr>
                <w:rFonts w:hint="eastAsia" w:ascii="宋体" w:hAnsi="宋体" w:cs="宋体"/>
                <w:color w:val="auto"/>
                <w:sz w:val="24"/>
                <w:szCs w:val="24"/>
                <w:highlight w:val="none"/>
              </w:rPr>
              <w:t>有权上报财政部门，建议财政部门将该投标人列入不良行为记录名单，在一至三年内禁止该投标人参加政府采购活动并予以通报。</w:t>
            </w:r>
            <w:r>
              <w:rPr>
                <w:rFonts w:hint="eastAsia" w:ascii="宋体" w:hAnsi="宋体" w:cs="宋体"/>
                <w:b/>
                <w:i/>
                <w:color w:val="auto"/>
                <w:kern w:val="0"/>
                <w:sz w:val="24"/>
                <w:szCs w:val="24"/>
                <w:highlight w:val="none"/>
                <w:u w:val="single"/>
              </w:rPr>
              <w:t>（提醒：如果投不满足中小企业的认定标准，则不需要提供《中小企业声明函》，否则因此导致虚假应标的后果由投标人自行承担。）</w:t>
            </w:r>
          </w:p>
        </w:tc>
      </w:tr>
    </w:tbl>
    <w:p w14:paraId="0E8DE234">
      <w:pPr>
        <w:spacing w:line="360" w:lineRule="auto"/>
        <w:ind w:firstLine="482" w:firstLineChars="200"/>
        <w:rPr>
          <w:rFonts w:hint="eastAsia" w:ascii="宋体" w:hAnsi="宋体" w:cs="宋体"/>
          <w:b/>
          <w:bCs/>
          <w:color w:val="auto"/>
          <w:sz w:val="24"/>
          <w:szCs w:val="24"/>
          <w:highlight w:val="none"/>
        </w:rPr>
        <w:sectPr>
          <w:footerReference r:id="rId7" w:type="default"/>
          <w:pgSz w:w="11907" w:h="16840"/>
          <w:pgMar w:top="1440" w:right="1752" w:bottom="1290" w:left="1752" w:header="851" w:footer="992" w:gutter="0"/>
          <w:pgNumType w:start="1"/>
          <w:cols w:space="720" w:num="1"/>
          <w:docGrid w:linePitch="323" w:charSpace="-2"/>
        </w:sectPr>
      </w:pPr>
    </w:p>
    <w:p w14:paraId="5B9B2F92">
      <w:pPr>
        <w:pStyle w:val="3"/>
        <w:snapToGrid w:val="0"/>
        <w:spacing w:line="360" w:lineRule="auto"/>
        <w:ind w:firstLine="0"/>
        <w:jc w:val="center"/>
        <w:rPr>
          <w:rFonts w:hint="eastAsia" w:ascii="宋体" w:hAnsi="宋体" w:cs="宋体"/>
          <w:b/>
          <w:bCs/>
          <w:color w:val="auto"/>
          <w:sz w:val="32"/>
          <w:szCs w:val="32"/>
          <w:highlight w:val="none"/>
        </w:rPr>
      </w:pPr>
      <w:r>
        <w:rPr>
          <w:rFonts w:hint="eastAsia" w:ascii="宋体" w:hAnsi="宋体" w:cs="宋体"/>
          <w:b/>
          <w:color w:val="auto"/>
          <w:sz w:val="32"/>
          <w:szCs w:val="32"/>
          <w:highlight w:val="none"/>
        </w:rPr>
        <w:t xml:space="preserve">第三章  </w:t>
      </w:r>
      <w:r>
        <w:rPr>
          <w:rFonts w:hint="eastAsia" w:ascii="宋体" w:hAnsi="宋体" w:cs="宋体"/>
          <w:b/>
          <w:bCs/>
          <w:color w:val="auto"/>
          <w:sz w:val="32"/>
          <w:szCs w:val="32"/>
          <w:highlight w:val="none"/>
        </w:rPr>
        <w:t>招标内容及要求</w:t>
      </w:r>
    </w:p>
    <w:p w14:paraId="5387647A">
      <w:pPr>
        <w:pStyle w:val="8"/>
        <w:spacing w:after="0" w:line="360" w:lineRule="auto"/>
        <w:ind w:left="181" w:leftChars="86" w:right="-334" w:rightChars="-159"/>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提示说明：</w:t>
      </w:r>
    </w:p>
    <w:p w14:paraId="4FCD0C17">
      <w:pPr>
        <w:pStyle w:val="8"/>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（1）全文中带有“★”的条款为关键性条款，对这些关键性条款的任何负偏离或不满足将导致该投标作无效投标处理。</w:t>
      </w:r>
      <w:r>
        <w:rPr>
          <w:rFonts w:hint="eastAsia" w:ascii="宋体" w:hAnsi="宋体" w:cs="宋体"/>
          <w:b/>
          <w:color w:val="auto"/>
          <w:sz w:val="24"/>
          <w:szCs w:val="24"/>
          <w:highlight w:val="none"/>
        </w:rPr>
        <w:t>投标人应对招标文件中的“★”号条款进行逐条响应，否则评标委员会对其投标做出不利评审，投标人必须自行承担责任。</w:t>
      </w:r>
    </w:p>
    <w:p w14:paraId="0C8F9C88">
      <w:pPr>
        <w:pStyle w:val="8"/>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（2）本项目以合同包为单位，对于每个合同包，投标人必须完整地提供合同包要求的所有货物和服务，否则该投标人针对该合同包的投标将按照无效投标处理。</w:t>
      </w:r>
    </w:p>
    <w:p w14:paraId="7EC2D20E">
      <w:pPr>
        <w:pStyle w:val="8"/>
        <w:spacing w:after="0" w:line="360" w:lineRule="auto"/>
        <w:ind w:left="0" w:right="-334" w:rightChars="-159"/>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（3）若招标文件第三章所述内容与其它部分的条款发生理解冲突，则以第三章所述内容为准；如招标文件发生变更，则相关条款的解释以更改通知为准。</w:t>
      </w:r>
    </w:p>
    <w:p w14:paraId="12C8FC11">
      <w:pPr>
        <w:pStyle w:val="8"/>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（4）经评标委员会认定要求澄清的证明文件必须在规定的时间内提供，否则其将不具有中标供应商的资格。</w:t>
      </w:r>
    </w:p>
    <w:p w14:paraId="0382BD48">
      <w:pPr>
        <w:pStyle w:val="8"/>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（5）本项目实行网上发售招标文件的方式，招标文件的正式文本以厦门招投标网上下载的内容为准。</w:t>
      </w:r>
    </w:p>
    <w:p w14:paraId="06C4858B">
      <w:pPr>
        <w:spacing w:line="360" w:lineRule="auto"/>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（6）资格性证明文件请单独成册。</w:t>
      </w:r>
    </w:p>
    <w:p w14:paraId="054460F0">
      <w:pPr>
        <w:tabs>
          <w:tab w:val="left" w:pos="5130"/>
        </w:tabs>
        <w:spacing w:line="360" w:lineRule="auto"/>
        <w:ind w:firstLine="480" w:firstLineChars="200"/>
        <w:rPr>
          <w:rFonts w:hint="eastAsia" w:ascii="宋体" w:hAnsi="宋体" w:cs="宋体"/>
          <w:color w:val="auto"/>
          <w:sz w:val="24"/>
          <w:szCs w:val="24"/>
          <w:highlight w:val="none"/>
        </w:rPr>
      </w:pPr>
    </w:p>
    <w:p w14:paraId="664AED4D">
      <w:pPr>
        <w:tabs>
          <w:tab w:val="left" w:pos="5130"/>
        </w:tabs>
        <w:spacing w:line="360" w:lineRule="auto"/>
        <w:ind w:firstLine="480" w:firstLineChars="200"/>
        <w:rPr>
          <w:rFonts w:hint="eastAsia" w:ascii="宋体" w:hAnsi="宋体" w:cs="宋体"/>
          <w:color w:val="auto"/>
          <w:sz w:val="24"/>
          <w:szCs w:val="24"/>
          <w:highlight w:val="none"/>
        </w:rPr>
      </w:pPr>
    </w:p>
    <w:p w14:paraId="5077D11A">
      <w:pPr>
        <w:tabs>
          <w:tab w:val="left" w:pos="5130"/>
        </w:tabs>
        <w:spacing w:line="360" w:lineRule="auto"/>
        <w:ind w:firstLine="480" w:firstLineChars="200"/>
        <w:rPr>
          <w:rFonts w:hint="eastAsia" w:ascii="宋体" w:hAnsi="宋体" w:cs="宋体"/>
          <w:color w:val="auto"/>
          <w:sz w:val="24"/>
          <w:szCs w:val="24"/>
          <w:highlight w:val="none"/>
        </w:rPr>
      </w:pPr>
    </w:p>
    <w:p w14:paraId="08388D2B">
      <w:pPr>
        <w:tabs>
          <w:tab w:val="left" w:pos="5130"/>
        </w:tabs>
        <w:spacing w:line="360" w:lineRule="auto"/>
        <w:ind w:firstLine="480" w:firstLineChars="200"/>
        <w:rPr>
          <w:rFonts w:hint="eastAsia" w:ascii="宋体" w:hAnsi="宋体" w:cs="宋体"/>
          <w:color w:val="auto"/>
          <w:sz w:val="24"/>
          <w:szCs w:val="24"/>
          <w:highlight w:val="none"/>
        </w:rPr>
      </w:pPr>
    </w:p>
    <w:p w14:paraId="424963F6">
      <w:pPr>
        <w:tabs>
          <w:tab w:val="left" w:pos="5130"/>
        </w:tabs>
        <w:spacing w:line="360" w:lineRule="auto"/>
        <w:ind w:firstLine="480" w:firstLineChars="200"/>
        <w:rPr>
          <w:rFonts w:hint="eastAsia" w:ascii="宋体" w:hAnsi="宋体" w:cs="宋体"/>
          <w:color w:val="auto"/>
          <w:sz w:val="24"/>
          <w:szCs w:val="24"/>
          <w:highlight w:val="none"/>
        </w:rPr>
      </w:pPr>
    </w:p>
    <w:p w14:paraId="6259D5AD">
      <w:pPr>
        <w:tabs>
          <w:tab w:val="left" w:pos="5130"/>
        </w:tabs>
        <w:spacing w:line="360" w:lineRule="auto"/>
        <w:ind w:firstLine="480" w:firstLineChars="200"/>
        <w:rPr>
          <w:rFonts w:hint="eastAsia" w:ascii="宋体" w:hAnsi="宋体" w:cs="宋体"/>
          <w:color w:val="auto"/>
          <w:sz w:val="24"/>
          <w:szCs w:val="24"/>
          <w:highlight w:val="none"/>
        </w:rPr>
      </w:pPr>
    </w:p>
    <w:p w14:paraId="29167E42">
      <w:pPr>
        <w:tabs>
          <w:tab w:val="left" w:pos="5130"/>
        </w:tabs>
        <w:spacing w:line="360" w:lineRule="auto"/>
        <w:ind w:firstLine="480" w:firstLineChars="200"/>
        <w:rPr>
          <w:rFonts w:hint="eastAsia" w:ascii="宋体" w:hAnsi="宋体" w:cs="宋体"/>
          <w:color w:val="auto"/>
          <w:sz w:val="24"/>
          <w:szCs w:val="24"/>
          <w:highlight w:val="none"/>
        </w:rPr>
      </w:pPr>
    </w:p>
    <w:p w14:paraId="64E72DB2">
      <w:pPr>
        <w:tabs>
          <w:tab w:val="left" w:pos="5130"/>
        </w:tabs>
        <w:spacing w:line="360" w:lineRule="auto"/>
        <w:ind w:firstLine="480" w:firstLineChars="200"/>
        <w:rPr>
          <w:rFonts w:hint="eastAsia" w:ascii="宋体" w:hAnsi="宋体" w:cs="宋体"/>
          <w:color w:val="auto"/>
          <w:sz w:val="24"/>
          <w:szCs w:val="24"/>
          <w:highlight w:val="none"/>
        </w:rPr>
      </w:pPr>
    </w:p>
    <w:p w14:paraId="7385E0F1">
      <w:pPr>
        <w:tabs>
          <w:tab w:val="left" w:pos="5130"/>
        </w:tabs>
        <w:spacing w:line="360" w:lineRule="auto"/>
        <w:ind w:firstLine="480" w:firstLineChars="200"/>
        <w:rPr>
          <w:rFonts w:hint="eastAsia" w:ascii="宋体" w:hAnsi="宋体" w:cs="宋体"/>
          <w:color w:val="auto"/>
          <w:sz w:val="24"/>
          <w:szCs w:val="24"/>
          <w:highlight w:val="none"/>
        </w:rPr>
      </w:pPr>
    </w:p>
    <w:p w14:paraId="405D8F7D">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rPr>
        <w:t>一、项目概况及技术要求</w:t>
      </w:r>
    </w:p>
    <w:p w14:paraId="39742D35">
      <w:pPr>
        <w:tabs>
          <w:tab w:val="left" w:pos="5130"/>
        </w:tabs>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（一）项目概况</w:t>
      </w:r>
    </w:p>
    <w:tbl>
      <w:tblPr>
        <w:tblStyle w:val="13"/>
        <w:tblW w:w="15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13"/>
        <w:gridCol w:w="2492"/>
      </w:tblGrid>
      <w:tr w14:paraId="6B24D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813" w:type="dxa"/>
            <w:tcBorders>
              <w:top w:val="single" w:color="auto" w:sz="4" w:space="0"/>
              <w:left w:val="single" w:color="auto" w:sz="4" w:space="0"/>
              <w:bottom w:val="single" w:color="auto" w:sz="4" w:space="0"/>
              <w:right w:val="single" w:color="auto" w:sz="4" w:space="0"/>
            </w:tcBorders>
            <w:vAlign w:val="center"/>
          </w:tcPr>
          <w:p w14:paraId="14663BEA">
            <w:pPr>
              <w:tabs>
                <w:tab w:val="left" w:pos="5130"/>
              </w:tabs>
              <w:ind w:firstLine="482" w:firstLineChars="200"/>
              <w:jc w:val="center"/>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货物名称</w:t>
            </w:r>
          </w:p>
        </w:tc>
        <w:tc>
          <w:tcPr>
            <w:tcW w:w="2492" w:type="dxa"/>
            <w:tcBorders>
              <w:top w:val="single" w:color="auto" w:sz="4" w:space="0"/>
              <w:left w:val="single" w:color="auto" w:sz="4" w:space="0"/>
              <w:bottom w:val="single" w:color="auto" w:sz="4" w:space="0"/>
              <w:right w:val="single" w:color="auto" w:sz="4" w:space="0"/>
            </w:tcBorders>
            <w:vAlign w:val="center"/>
          </w:tcPr>
          <w:p w14:paraId="77AF36AE">
            <w:pPr>
              <w:tabs>
                <w:tab w:val="left" w:pos="5130"/>
              </w:tabs>
              <w:ind w:firstLine="482" w:firstLineChars="200"/>
              <w:jc w:val="center"/>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数量</w:t>
            </w:r>
          </w:p>
        </w:tc>
      </w:tr>
      <w:tr w14:paraId="1162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6" w:hRule="atLeast"/>
        </w:trPr>
        <w:tc>
          <w:tcPr>
            <w:tcW w:w="12813" w:type="dxa"/>
            <w:tcBorders>
              <w:top w:val="single" w:color="auto" w:sz="4" w:space="0"/>
              <w:left w:val="single" w:color="auto" w:sz="4" w:space="0"/>
              <w:bottom w:val="single" w:color="auto" w:sz="4" w:space="0"/>
              <w:right w:val="single" w:color="auto" w:sz="4" w:space="0"/>
            </w:tcBorders>
            <w:vAlign w:val="center"/>
          </w:tcPr>
          <w:p w14:paraId="646009D8">
            <w:pPr>
              <w:tabs>
                <w:tab w:val="left" w:pos="5130"/>
              </w:tabs>
              <w:ind w:firstLine="482" w:firstLineChars="200"/>
              <w:jc w:val="center"/>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厦门理工学院家具采购</w:t>
            </w:r>
          </w:p>
        </w:tc>
        <w:tc>
          <w:tcPr>
            <w:tcW w:w="2492" w:type="dxa"/>
            <w:tcBorders>
              <w:top w:val="single" w:color="auto" w:sz="4" w:space="0"/>
              <w:left w:val="single" w:color="auto" w:sz="4" w:space="0"/>
              <w:bottom w:val="single" w:color="auto" w:sz="4" w:space="0"/>
              <w:right w:val="single" w:color="auto" w:sz="4" w:space="0"/>
            </w:tcBorders>
            <w:vAlign w:val="center"/>
          </w:tcPr>
          <w:p w14:paraId="71703111">
            <w:pPr>
              <w:tabs>
                <w:tab w:val="left" w:pos="5130"/>
              </w:tabs>
              <w:ind w:firstLine="482" w:firstLineChars="200"/>
              <w:jc w:val="center"/>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1批</w:t>
            </w:r>
          </w:p>
        </w:tc>
      </w:tr>
    </w:tbl>
    <w:p w14:paraId="0AD3D9AE">
      <w:pPr>
        <w:tabs>
          <w:tab w:val="left" w:pos="5130"/>
        </w:tabs>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中标供应商应向学校提供相应配套货物及服务（包括但不限于安装服务、培训服务、质保服务等）。</w:t>
      </w:r>
    </w:p>
    <w:p w14:paraId="59E51561">
      <w:pPr>
        <w:tabs>
          <w:tab w:val="left" w:pos="5130"/>
        </w:tabs>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（二）采购清单</w:t>
      </w:r>
    </w:p>
    <w:tbl>
      <w:tblPr>
        <w:tblStyle w:val="14"/>
        <w:tblpPr w:leftFromText="180" w:rightFromText="180" w:vertAnchor="text" w:horzAnchor="page" w:tblpX="1681" w:tblpY="601"/>
        <w:tblOverlap w:val="never"/>
        <w:tblW w:w="1347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005"/>
        <w:gridCol w:w="3844"/>
        <w:gridCol w:w="2325"/>
        <w:gridCol w:w="4901"/>
        <w:gridCol w:w="1395"/>
      </w:tblGrid>
      <w:tr w14:paraId="183A3B2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17" w:hRule="atLeast"/>
        </w:trPr>
        <w:tc>
          <w:tcPr>
            <w:tcW w:w="1005" w:type="dxa"/>
            <w:vAlign w:val="center"/>
          </w:tcPr>
          <w:p w14:paraId="39940494">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kern w:val="2"/>
                <w:highlight w:val="none"/>
              </w:rPr>
              <w:t>序号</w:t>
            </w:r>
          </w:p>
        </w:tc>
        <w:tc>
          <w:tcPr>
            <w:tcW w:w="3844" w:type="dxa"/>
            <w:vAlign w:val="center"/>
          </w:tcPr>
          <w:p w14:paraId="66A83C13">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kern w:val="2"/>
                <w:highlight w:val="none"/>
              </w:rPr>
              <w:t>货物名称</w:t>
            </w:r>
          </w:p>
        </w:tc>
        <w:tc>
          <w:tcPr>
            <w:tcW w:w="2325" w:type="dxa"/>
            <w:vAlign w:val="center"/>
          </w:tcPr>
          <w:p w14:paraId="75FEF074">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kern w:val="2"/>
                <w:highlight w:val="none"/>
              </w:rPr>
              <w:t>规格</w:t>
            </w:r>
          </w:p>
        </w:tc>
        <w:tc>
          <w:tcPr>
            <w:tcW w:w="4901" w:type="dxa"/>
            <w:vAlign w:val="center"/>
          </w:tcPr>
          <w:p w14:paraId="517F6E15">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kern w:val="2"/>
                <w:highlight w:val="none"/>
              </w:rPr>
              <w:t>技术参数</w:t>
            </w:r>
          </w:p>
        </w:tc>
        <w:tc>
          <w:tcPr>
            <w:tcW w:w="1395" w:type="dxa"/>
            <w:vAlign w:val="center"/>
          </w:tcPr>
          <w:p w14:paraId="5C4ADEBC">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kern w:val="2"/>
                <w:highlight w:val="none"/>
              </w:rPr>
              <w:t>数量</w:t>
            </w:r>
          </w:p>
        </w:tc>
      </w:tr>
      <w:tr w14:paraId="3AB6153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83" w:hRule="atLeast"/>
        </w:trPr>
        <w:tc>
          <w:tcPr>
            <w:tcW w:w="1005" w:type="dxa"/>
            <w:vAlign w:val="center"/>
          </w:tcPr>
          <w:p w14:paraId="0B9EA5EA">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1</w:t>
            </w:r>
          </w:p>
        </w:tc>
        <w:tc>
          <w:tcPr>
            <w:tcW w:w="3844" w:type="dxa"/>
            <w:vAlign w:val="center"/>
          </w:tcPr>
          <w:p w14:paraId="6F9CFDB0">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组合式公寓床-铁架床</w:t>
            </w:r>
          </w:p>
        </w:tc>
        <w:tc>
          <w:tcPr>
            <w:tcW w:w="2325" w:type="dxa"/>
            <w:vAlign w:val="center"/>
          </w:tcPr>
          <w:p w14:paraId="2A48BE6A">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2100*900*2910mm</w:t>
            </w:r>
          </w:p>
        </w:tc>
        <w:tc>
          <w:tcPr>
            <w:tcW w:w="4901" w:type="dxa"/>
            <w:vAlign w:val="center"/>
          </w:tcPr>
          <w:p w14:paraId="0A2CAF87">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每套床含：铁床架、16mm杉木床铺板；</w:t>
            </w:r>
          </w:p>
          <w:p w14:paraId="291697B9">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详见线条图及材质描述</w:t>
            </w:r>
          </w:p>
        </w:tc>
        <w:tc>
          <w:tcPr>
            <w:tcW w:w="1395" w:type="dxa"/>
            <w:vAlign w:val="center"/>
          </w:tcPr>
          <w:p w14:paraId="33CC1D44">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3480套</w:t>
            </w:r>
          </w:p>
        </w:tc>
      </w:tr>
      <w:tr w14:paraId="43E1E7E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6" w:hRule="atLeast"/>
        </w:trPr>
        <w:tc>
          <w:tcPr>
            <w:tcW w:w="1005" w:type="dxa"/>
            <w:vAlign w:val="center"/>
          </w:tcPr>
          <w:p w14:paraId="0C3DB30C">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2</w:t>
            </w:r>
          </w:p>
        </w:tc>
        <w:tc>
          <w:tcPr>
            <w:tcW w:w="3844" w:type="dxa"/>
            <w:vAlign w:val="center"/>
          </w:tcPr>
          <w:p w14:paraId="6EDCBCC1">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组合式公寓床</w:t>
            </w:r>
            <w:r>
              <w:rPr>
                <w:rFonts w:hint="eastAsia" w:asciiTheme="minorEastAsia" w:hAnsiTheme="minorEastAsia" w:eastAsiaTheme="minorEastAsia" w:cstheme="minorEastAsia"/>
                <w:b/>
                <w:bCs/>
                <w:color w:val="auto"/>
                <w:highlight w:val="none"/>
              </w:rPr>
              <w:t>-</w:t>
            </w:r>
            <w:r>
              <w:rPr>
                <w:rFonts w:hint="eastAsia" w:asciiTheme="minorEastAsia" w:hAnsiTheme="minorEastAsia" w:eastAsiaTheme="minorEastAsia" w:cstheme="minorEastAsia"/>
                <w:color w:val="auto"/>
                <w:kern w:val="2"/>
                <w:highlight w:val="none"/>
              </w:rPr>
              <w:t>木家具</w:t>
            </w:r>
          </w:p>
        </w:tc>
        <w:tc>
          <w:tcPr>
            <w:tcW w:w="2325" w:type="dxa"/>
            <w:vAlign w:val="center"/>
          </w:tcPr>
          <w:p w14:paraId="749E36CA">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2040*618*1695mm</w:t>
            </w:r>
          </w:p>
        </w:tc>
        <w:tc>
          <w:tcPr>
            <w:tcW w:w="4901" w:type="dxa"/>
            <w:vAlign w:val="center"/>
          </w:tcPr>
          <w:p w14:paraId="64F0F10C">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每套木家具含：书桌、书架、衣柜；</w:t>
            </w:r>
          </w:p>
          <w:p w14:paraId="7BEE79E4">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详见线条图及材质描述</w:t>
            </w:r>
          </w:p>
        </w:tc>
        <w:tc>
          <w:tcPr>
            <w:tcW w:w="1395" w:type="dxa"/>
            <w:vAlign w:val="center"/>
          </w:tcPr>
          <w:p w14:paraId="14BA9F12">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3480套</w:t>
            </w:r>
          </w:p>
        </w:tc>
      </w:tr>
      <w:tr w14:paraId="7CDA08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23" w:hRule="atLeast"/>
        </w:trPr>
        <w:tc>
          <w:tcPr>
            <w:tcW w:w="1005" w:type="dxa"/>
            <w:vAlign w:val="center"/>
          </w:tcPr>
          <w:p w14:paraId="1CB24C11">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3</w:t>
            </w:r>
          </w:p>
        </w:tc>
        <w:tc>
          <w:tcPr>
            <w:tcW w:w="3844" w:type="dxa"/>
            <w:vAlign w:val="center"/>
          </w:tcPr>
          <w:p w14:paraId="0DE1BBC9">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公寓椅</w:t>
            </w:r>
          </w:p>
        </w:tc>
        <w:tc>
          <w:tcPr>
            <w:tcW w:w="2325" w:type="dxa"/>
            <w:vAlign w:val="center"/>
          </w:tcPr>
          <w:p w14:paraId="03D050D9">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450*550*780mm</w:t>
            </w:r>
          </w:p>
        </w:tc>
        <w:tc>
          <w:tcPr>
            <w:tcW w:w="4901" w:type="dxa"/>
            <w:vAlign w:val="center"/>
          </w:tcPr>
          <w:p w14:paraId="50F80619">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详见线条图及材质描述</w:t>
            </w:r>
          </w:p>
        </w:tc>
        <w:tc>
          <w:tcPr>
            <w:tcW w:w="1395" w:type="dxa"/>
            <w:vAlign w:val="center"/>
          </w:tcPr>
          <w:p w14:paraId="67B38549">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rPr>
              <w:t>3480张</w:t>
            </w:r>
          </w:p>
        </w:tc>
      </w:tr>
    </w:tbl>
    <w:p w14:paraId="3CE208AA">
      <w:pPr>
        <w:spacing w:line="480" w:lineRule="auto"/>
        <w:ind w:firstLine="560"/>
        <w:jc w:val="left"/>
        <w:rPr>
          <w:rFonts w:hint="eastAsia" w:asciiTheme="minorEastAsia" w:hAnsiTheme="minorEastAsia" w:eastAsiaTheme="minorEastAsia" w:cstheme="minorEastAsia"/>
          <w:b/>
          <w:bCs/>
          <w:color w:val="auto"/>
          <w:kern w:val="0"/>
          <w:sz w:val="24"/>
          <w:szCs w:val="24"/>
          <w:highlight w:val="none"/>
          <w:shd w:val="clear" w:color="auto" w:fill="FFFFFF"/>
          <w:lang w:bidi="ar"/>
        </w:rPr>
      </w:pPr>
    </w:p>
    <w:p w14:paraId="645FAEDC">
      <w:pPr>
        <w:spacing w:line="480" w:lineRule="auto"/>
        <w:ind w:firstLine="560"/>
        <w:jc w:val="left"/>
        <w:rPr>
          <w:rFonts w:hint="eastAsia" w:asciiTheme="minorEastAsia" w:hAnsiTheme="minorEastAsia" w:eastAsiaTheme="minorEastAsia" w:cstheme="minorEastAsia"/>
          <w:b/>
          <w:bCs/>
          <w:color w:val="auto"/>
          <w:kern w:val="0"/>
          <w:sz w:val="24"/>
          <w:szCs w:val="24"/>
          <w:highlight w:val="none"/>
          <w:shd w:val="clear" w:color="auto" w:fill="FFFFFF"/>
          <w:lang w:bidi="ar"/>
        </w:rPr>
      </w:pPr>
    </w:p>
    <w:p w14:paraId="0ADA12BE">
      <w:pPr>
        <w:spacing w:line="480" w:lineRule="auto"/>
        <w:ind w:firstLine="560"/>
        <w:jc w:val="left"/>
        <w:rPr>
          <w:rFonts w:hint="eastAsia" w:asciiTheme="minorEastAsia" w:hAnsiTheme="minorEastAsia" w:eastAsiaTheme="minorEastAsia" w:cstheme="minorEastAsia"/>
          <w:b/>
          <w:bCs/>
          <w:color w:val="auto"/>
          <w:kern w:val="0"/>
          <w:sz w:val="24"/>
          <w:szCs w:val="24"/>
          <w:highlight w:val="none"/>
          <w:shd w:val="clear" w:color="auto" w:fill="FFFFFF"/>
          <w:lang w:bidi="ar"/>
        </w:rPr>
      </w:pPr>
    </w:p>
    <w:p w14:paraId="51EAC222">
      <w:pPr>
        <w:spacing w:line="480" w:lineRule="auto"/>
        <w:ind w:firstLine="560"/>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（三）、拟采购项目的家具配置平面设计方案及效果图</w:t>
      </w:r>
    </w:p>
    <w:p w14:paraId="311CBA33">
      <w:pPr>
        <w:rPr>
          <w:rFonts w:hint="eastAsia" w:asciiTheme="minorEastAsia" w:hAnsiTheme="minorEastAsia" w:eastAsiaTheme="minorEastAsia" w:cstheme="minorEastAsia"/>
          <w:color w:val="auto"/>
          <w:sz w:val="24"/>
          <w:szCs w:val="24"/>
          <w:highlight w:val="none"/>
        </w:rPr>
        <w:sectPr>
          <w:footerReference r:id="rId8" w:type="default"/>
          <w:pgSz w:w="16838" w:h="11906" w:orient="landscape"/>
          <w:pgMar w:top="669" w:right="873" w:bottom="669" w:left="873" w:header="851" w:footer="992" w:gutter="0"/>
          <w:pgNumType w:start="1"/>
          <w:cols w:space="425" w:num="1"/>
          <w:docGrid w:type="lines" w:linePitch="312" w:charSpace="0"/>
        </w:sectPr>
      </w:pPr>
    </w:p>
    <w:p w14:paraId="2D1ECCBF">
      <w:pP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92032" behindDoc="1" locked="0" layoutInCell="1" allowOverlap="1">
            <wp:simplePos x="0" y="0"/>
            <wp:positionH relativeFrom="column">
              <wp:posOffset>935990</wp:posOffset>
            </wp:positionH>
            <wp:positionV relativeFrom="paragraph">
              <wp:posOffset>472440</wp:posOffset>
            </wp:positionV>
            <wp:extent cx="8018780" cy="5577840"/>
            <wp:effectExtent l="0" t="0" r="7620" b="1016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rcRect l="3542"/>
                    <a:stretch>
                      <a:fillRect/>
                    </a:stretch>
                  </pic:blipFill>
                  <pic:spPr>
                    <a:xfrm>
                      <a:off x="0" y="0"/>
                      <a:ext cx="8018780" cy="5577840"/>
                    </a:xfrm>
                    <a:prstGeom prst="rect">
                      <a:avLst/>
                    </a:prstGeom>
                  </pic:spPr>
                </pic:pic>
              </a:graphicData>
            </a:graphic>
          </wp:anchor>
        </w:drawing>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91008" behindDoc="0" locked="0" layoutInCell="1" allowOverlap="1">
                <wp:simplePos x="0" y="0"/>
                <wp:positionH relativeFrom="column">
                  <wp:posOffset>-362585</wp:posOffset>
                </wp:positionH>
                <wp:positionV relativeFrom="paragraph">
                  <wp:posOffset>326390</wp:posOffset>
                </wp:positionV>
                <wp:extent cx="10420350" cy="0"/>
                <wp:effectExtent l="0" t="15875" r="6350" b="22225"/>
                <wp:wrapNone/>
                <wp:docPr id="37" name="直接连接符 4"/>
                <wp:cNvGraphicFramePr/>
                <a:graphic xmlns:a="http://schemas.openxmlformats.org/drawingml/2006/main">
                  <a:graphicData uri="http://schemas.microsoft.com/office/word/2010/wordprocessingShape">
                    <wps:wsp>
                      <wps:cNvCnPr/>
                      <wps:spPr>
                        <a:xfrm flipH="1">
                          <a:off x="0" y="0"/>
                          <a:ext cx="10420350" cy="0"/>
                        </a:xfrm>
                        <a:prstGeom prst="line">
                          <a:avLst/>
                        </a:prstGeom>
                        <a:ln w="31750">
                          <a:gradFill>
                            <a:gsLst>
                              <a:gs pos="0">
                                <a:schemeClr val="accent1">
                                  <a:hueOff val="0"/>
                                </a:schemeClr>
                              </a:gs>
                              <a:gs pos="100000">
                                <a:schemeClr val="accent1"/>
                              </a:gs>
                            </a:gsLst>
                          </a:gradFill>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id="直接连接符 4" o:spid="_x0000_s1026" o:spt="20" style="position:absolute;left:0pt;flip:x;margin-left:-28.55pt;margin-top:25.7pt;height:0pt;width:820.5pt;z-index:251691008;mso-width-relative:page;mso-height-relative:page;" filled="f" stroked="t" coordsize="21600,21600" o:gfxdata="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NoG1zYAAAACgEAAA8AAAAAAAAAAQAgAAAAIgAAAGRycy9kb3ducmV2LnhtbFBLAQIUABQA&#10;AAAIAIdO4kBNOcI/8AEAAOQDAAAOAAAAAAAAAAEAIAAAACcBAABkcnMvZTJvRG9jLnhtbFBLBQYA&#10;AAAABgAGAFkBAACJBQAAAAA=&#10;">
                <v:fill on="f" focussize="0,0"/>
                <v:stroke weight="2.5pt" color="#000000" joinstyle="round"/>
                <v:imagedata o:title=""/>
                <o:lock v:ext="edit" aspectratio="f"/>
              </v:lin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9984" behindDoc="0" locked="0" layoutInCell="1" allowOverlap="1">
                <wp:simplePos x="0" y="0"/>
                <wp:positionH relativeFrom="column">
                  <wp:posOffset>335915</wp:posOffset>
                </wp:positionH>
                <wp:positionV relativeFrom="paragraph">
                  <wp:posOffset>-329565</wp:posOffset>
                </wp:positionV>
                <wp:extent cx="8891270" cy="605155"/>
                <wp:effectExtent l="0" t="0" r="0" b="0"/>
                <wp:wrapNone/>
                <wp:docPr id="40" name="文本框 3"/>
                <wp:cNvGraphicFramePr/>
                <a:graphic xmlns:a="http://schemas.openxmlformats.org/drawingml/2006/main">
                  <a:graphicData uri="http://schemas.microsoft.com/office/word/2010/wordprocessingShape">
                    <wps:wsp>
                      <wps:cNvSpPr txBox="1"/>
                      <wps:spPr>
                        <a:xfrm>
                          <a:off x="0" y="0"/>
                          <a:ext cx="8891270" cy="605155"/>
                        </a:xfrm>
                        <a:prstGeom prst="rect">
                          <a:avLst/>
                        </a:prstGeom>
                        <a:noFill/>
                        <a:ln w="15875" cap="sq" cmpd="sng">
                          <a:noFill/>
                          <a:prstDash val="solid"/>
                        </a:ln>
                        <a:effectLst>
                          <a:softEdge rad="12700"/>
                        </a:effectLst>
                      </wps:spPr>
                      <wps:txbx>
                        <w:txbxContent>
                          <w:p w14:paraId="41C5CE06">
                            <w:pPr>
                              <w:spacing w:line="480" w:lineRule="auto"/>
                              <w:ind w:firstLine="560"/>
                              <w:jc w:val="left"/>
                              <w:rPr>
                                <w:rFonts w:hint="eastAsia" w:asciiTheme="minorEastAsia" w:hAnsiTheme="minorEastAsia" w:cstheme="minorEastAsia"/>
                                <w:b/>
                                <w:bCs/>
                                <w:color w:val="0D0D0D"/>
                                <w:kern w:val="0"/>
                                <w:sz w:val="30"/>
                                <w:szCs w:val="30"/>
                                <w:shd w:val="clear" w:color="auto" w:fill="FFFFFF"/>
                                <w:lang w:bidi="ar"/>
                              </w:rPr>
                            </w:pPr>
                            <w:r>
                              <w:rPr>
                                <w:rFonts w:hint="eastAsia" w:asciiTheme="minorEastAsia" w:hAnsiTheme="minorEastAsia" w:cstheme="minorEastAsia"/>
                                <w:b/>
                                <w:bCs/>
                                <w:color w:val="0D0D0D"/>
                                <w:kern w:val="0"/>
                                <w:sz w:val="30"/>
                                <w:szCs w:val="30"/>
                                <w:shd w:val="clear" w:color="auto" w:fill="FFFFFF"/>
                                <w:lang w:bidi="ar"/>
                              </w:rPr>
                              <w:t>1.六人间宿舍家具配置---房间平面设计方案</w:t>
                            </w:r>
                          </w:p>
                          <w:p w14:paraId="6F44DE52">
                            <w:pPr>
                              <w:pStyle w:val="11"/>
                              <w:rPr>
                                <w:rFonts w:hint="eastAsia"/>
                                <w:sz w:val="21"/>
                                <w:szCs w:val="21"/>
                              </w:rPr>
                            </w:pPr>
                          </w:p>
                          <w:p w14:paraId="72890D0D">
                            <w:pPr>
                              <w:pStyle w:val="11"/>
                              <w:rPr>
                                <w:rFonts w:hint="eastAsia"/>
                                <w:sz w:val="21"/>
                                <w:szCs w:val="21"/>
                              </w:rPr>
                            </w:pPr>
                          </w:p>
                          <w:p w14:paraId="63D61D88">
                            <w:pPr>
                              <w:pStyle w:val="11"/>
                              <w:rPr>
                                <w:rFonts w:hint="eastAsia"/>
                                <w:sz w:val="21"/>
                                <w:szCs w:val="21"/>
                              </w:rPr>
                            </w:pPr>
                          </w:p>
                          <w:p w14:paraId="71C60CD5">
                            <w:pPr>
                              <w:pStyle w:val="11"/>
                              <w:rPr>
                                <w:rFonts w:hint="eastAsia"/>
                                <w:sz w:val="21"/>
                                <w:szCs w:val="21"/>
                              </w:rPr>
                            </w:pPr>
                          </w:p>
                          <w:p w14:paraId="6E445F7C">
                            <w:pPr>
                              <w:pStyle w:val="11"/>
                              <w:rPr>
                                <w:rFonts w:hint="eastAsia"/>
                                <w:sz w:val="21"/>
                                <w:szCs w:val="21"/>
                              </w:rPr>
                            </w:pPr>
                          </w:p>
                          <w:p w14:paraId="0A596F23">
                            <w:pPr>
                              <w:pStyle w:val="11"/>
                              <w:rPr>
                                <w:rFonts w:hint="eastAsia"/>
                                <w:sz w:val="21"/>
                                <w:szCs w:val="21"/>
                              </w:rPr>
                            </w:pPr>
                          </w:p>
                          <w:p w14:paraId="7F5DFD13">
                            <w:pPr>
                              <w:pStyle w:val="11"/>
                              <w:rPr>
                                <w:rFonts w:hint="eastAsia"/>
                                <w:sz w:val="21"/>
                                <w:szCs w:val="21"/>
                              </w:rPr>
                            </w:pPr>
                          </w:p>
                          <w:p w14:paraId="798D400E">
                            <w:pPr>
                              <w:pStyle w:val="11"/>
                              <w:rPr>
                                <w:rFonts w:hint="eastAsia"/>
                                <w:sz w:val="21"/>
                                <w:szCs w:val="21"/>
                              </w:rPr>
                            </w:pPr>
                          </w:p>
                          <w:p w14:paraId="26723D36">
                            <w:pPr>
                              <w:pStyle w:val="11"/>
                              <w:rPr>
                                <w:rFonts w:hint="eastAsia"/>
                                <w:sz w:val="21"/>
                                <w:szCs w:val="21"/>
                              </w:rPr>
                            </w:pPr>
                          </w:p>
                          <w:p w14:paraId="019D25FC">
                            <w:pPr>
                              <w:pStyle w:val="11"/>
                              <w:rPr>
                                <w:rFonts w:hint="eastAsia"/>
                                <w:sz w:val="21"/>
                                <w:szCs w:val="21"/>
                              </w:rPr>
                            </w:pPr>
                          </w:p>
                          <w:p w14:paraId="2B2CF403">
                            <w:pPr>
                              <w:pStyle w:val="11"/>
                              <w:rPr>
                                <w:rFonts w:hint="eastAsia"/>
                                <w:sz w:val="21"/>
                                <w:szCs w:val="21"/>
                              </w:rPr>
                            </w:pPr>
                          </w:p>
                          <w:p w14:paraId="2705913F">
                            <w:pPr>
                              <w:pStyle w:val="11"/>
                              <w:rPr>
                                <w:rFonts w:hint="eastAsia"/>
                                <w:sz w:val="21"/>
                                <w:szCs w:val="21"/>
                              </w:rPr>
                            </w:pPr>
                          </w:p>
                          <w:p w14:paraId="2FFF8D0B">
                            <w:pPr>
                              <w:pStyle w:val="11"/>
                              <w:rPr>
                                <w:rFonts w:hint="eastAsia"/>
                                <w:sz w:val="21"/>
                                <w:szCs w:val="21"/>
                              </w:rPr>
                            </w:pPr>
                          </w:p>
                          <w:p w14:paraId="543AE071">
                            <w:pPr>
                              <w:pStyle w:val="11"/>
                              <w:rPr>
                                <w:rFonts w:hint="eastAsia"/>
                                <w:sz w:val="21"/>
                                <w:szCs w:val="21"/>
                              </w:rPr>
                            </w:pPr>
                          </w:p>
                          <w:p w14:paraId="026F41B8">
                            <w:pPr>
                              <w:pStyle w:val="11"/>
                              <w:rPr>
                                <w:rFonts w:hint="eastAsia"/>
                                <w:sz w:val="21"/>
                                <w:szCs w:val="21"/>
                              </w:rPr>
                            </w:pPr>
                          </w:p>
                          <w:p w14:paraId="17F82CBB">
                            <w:pPr>
                              <w:pStyle w:val="11"/>
                              <w:rPr>
                                <w:rFonts w:hint="eastAsia"/>
                                <w:sz w:val="21"/>
                                <w:szCs w:val="21"/>
                              </w:rPr>
                            </w:pPr>
                          </w:p>
                        </w:txbxContent>
                      </wps:txbx>
                      <wps:bodyPr wrap="square" rtlCol="0">
                        <a:noAutofit/>
                      </wps:bodyPr>
                    </wps:wsp>
                  </a:graphicData>
                </a:graphic>
              </wp:anchor>
            </w:drawing>
          </mc:Choice>
          <mc:Fallback>
            <w:pict>
              <v:shape id="文本框 3" o:spid="_x0000_s1026" o:spt="202" type="#_x0000_t202" style="position:absolute;left:0pt;margin-left:26.45pt;margin-top:-25.95pt;height:47.65pt;width:700.1pt;z-index:251689984;mso-width-relative:page;mso-height-relative:page;" filled="f" stroked="f" coordsize="21600,21600" o:gfxdata="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I5pZAtkAAAAKAQAADwAAAAAAAAABACAAAAAiAAAAZHJzL2Rvd25yZXYu&#10;eG1sUEsBAhQAFAAAAAgAh07iQOrAtg76AQAA4QMAAA4AAAAAAAAAAQAgAAAAKAEAAGRycy9lMm9E&#10;b2MueG1sUEsFBgAAAAAGAAYAWQEAAJQFAAAAAA==&#10;">
                <v:fill on="f" focussize="0,0"/>
                <v:stroke on="f" weight="1.25pt" endcap="square"/>
                <v:imagedata o:title=""/>
                <o:lock v:ext="edit" aspectratio="f"/>
                <v:textbox>
                  <w:txbxContent>
                    <w:p w14:paraId="41C5CE06">
                      <w:pPr>
                        <w:spacing w:line="480" w:lineRule="auto"/>
                        <w:ind w:firstLine="560"/>
                        <w:jc w:val="left"/>
                        <w:rPr>
                          <w:rFonts w:hint="eastAsia" w:asciiTheme="minorEastAsia" w:hAnsiTheme="minorEastAsia" w:cstheme="minorEastAsia"/>
                          <w:b/>
                          <w:bCs/>
                          <w:color w:val="0D0D0D"/>
                          <w:kern w:val="0"/>
                          <w:sz w:val="30"/>
                          <w:szCs w:val="30"/>
                          <w:shd w:val="clear" w:color="auto" w:fill="FFFFFF"/>
                          <w:lang w:bidi="ar"/>
                        </w:rPr>
                      </w:pPr>
                      <w:r>
                        <w:rPr>
                          <w:rFonts w:hint="eastAsia" w:asciiTheme="minorEastAsia" w:hAnsiTheme="minorEastAsia" w:cstheme="minorEastAsia"/>
                          <w:b/>
                          <w:bCs/>
                          <w:color w:val="0D0D0D"/>
                          <w:kern w:val="0"/>
                          <w:sz w:val="30"/>
                          <w:szCs w:val="30"/>
                          <w:shd w:val="clear" w:color="auto" w:fill="FFFFFF"/>
                          <w:lang w:bidi="ar"/>
                        </w:rPr>
                        <w:t>1.六人间宿舍家具配置---房间平面设计方案</w:t>
                      </w:r>
                    </w:p>
                    <w:p w14:paraId="6F44DE52">
                      <w:pPr>
                        <w:pStyle w:val="11"/>
                        <w:rPr>
                          <w:rFonts w:hint="eastAsia"/>
                          <w:sz w:val="21"/>
                          <w:szCs w:val="21"/>
                        </w:rPr>
                      </w:pPr>
                    </w:p>
                    <w:p w14:paraId="72890D0D">
                      <w:pPr>
                        <w:pStyle w:val="11"/>
                        <w:rPr>
                          <w:rFonts w:hint="eastAsia"/>
                          <w:sz w:val="21"/>
                          <w:szCs w:val="21"/>
                        </w:rPr>
                      </w:pPr>
                    </w:p>
                    <w:p w14:paraId="63D61D88">
                      <w:pPr>
                        <w:pStyle w:val="11"/>
                        <w:rPr>
                          <w:rFonts w:hint="eastAsia"/>
                          <w:sz w:val="21"/>
                          <w:szCs w:val="21"/>
                        </w:rPr>
                      </w:pPr>
                    </w:p>
                    <w:p w14:paraId="71C60CD5">
                      <w:pPr>
                        <w:pStyle w:val="11"/>
                        <w:rPr>
                          <w:rFonts w:hint="eastAsia"/>
                          <w:sz w:val="21"/>
                          <w:szCs w:val="21"/>
                        </w:rPr>
                      </w:pPr>
                    </w:p>
                    <w:p w14:paraId="6E445F7C">
                      <w:pPr>
                        <w:pStyle w:val="11"/>
                        <w:rPr>
                          <w:rFonts w:hint="eastAsia"/>
                          <w:sz w:val="21"/>
                          <w:szCs w:val="21"/>
                        </w:rPr>
                      </w:pPr>
                    </w:p>
                    <w:p w14:paraId="0A596F23">
                      <w:pPr>
                        <w:pStyle w:val="11"/>
                        <w:rPr>
                          <w:rFonts w:hint="eastAsia"/>
                          <w:sz w:val="21"/>
                          <w:szCs w:val="21"/>
                        </w:rPr>
                      </w:pPr>
                    </w:p>
                    <w:p w14:paraId="7F5DFD13">
                      <w:pPr>
                        <w:pStyle w:val="11"/>
                        <w:rPr>
                          <w:rFonts w:hint="eastAsia"/>
                          <w:sz w:val="21"/>
                          <w:szCs w:val="21"/>
                        </w:rPr>
                      </w:pPr>
                    </w:p>
                    <w:p w14:paraId="798D400E">
                      <w:pPr>
                        <w:pStyle w:val="11"/>
                        <w:rPr>
                          <w:rFonts w:hint="eastAsia"/>
                          <w:sz w:val="21"/>
                          <w:szCs w:val="21"/>
                        </w:rPr>
                      </w:pPr>
                    </w:p>
                    <w:p w14:paraId="26723D36">
                      <w:pPr>
                        <w:pStyle w:val="11"/>
                        <w:rPr>
                          <w:rFonts w:hint="eastAsia"/>
                          <w:sz w:val="21"/>
                          <w:szCs w:val="21"/>
                        </w:rPr>
                      </w:pPr>
                    </w:p>
                    <w:p w14:paraId="019D25FC">
                      <w:pPr>
                        <w:pStyle w:val="11"/>
                        <w:rPr>
                          <w:rFonts w:hint="eastAsia"/>
                          <w:sz w:val="21"/>
                          <w:szCs w:val="21"/>
                        </w:rPr>
                      </w:pPr>
                    </w:p>
                    <w:p w14:paraId="2B2CF403">
                      <w:pPr>
                        <w:pStyle w:val="11"/>
                        <w:rPr>
                          <w:rFonts w:hint="eastAsia"/>
                          <w:sz w:val="21"/>
                          <w:szCs w:val="21"/>
                        </w:rPr>
                      </w:pPr>
                    </w:p>
                    <w:p w14:paraId="2705913F">
                      <w:pPr>
                        <w:pStyle w:val="11"/>
                        <w:rPr>
                          <w:rFonts w:hint="eastAsia"/>
                          <w:sz w:val="21"/>
                          <w:szCs w:val="21"/>
                        </w:rPr>
                      </w:pPr>
                    </w:p>
                    <w:p w14:paraId="2FFF8D0B">
                      <w:pPr>
                        <w:pStyle w:val="11"/>
                        <w:rPr>
                          <w:rFonts w:hint="eastAsia"/>
                          <w:sz w:val="21"/>
                          <w:szCs w:val="21"/>
                        </w:rPr>
                      </w:pPr>
                    </w:p>
                    <w:p w14:paraId="543AE071">
                      <w:pPr>
                        <w:pStyle w:val="11"/>
                        <w:rPr>
                          <w:rFonts w:hint="eastAsia"/>
                          <w:sz w:val="21"/>
                          <w:szCs w:val="21"/>
                        </w:rPr>
                      </w:pPr>
                    </w:p>
                    <w:p w14:paraId="026F41B8">
                      <w:pPr>
                        <w:pStyle w:val="11"/>
                        <w:rPr>
                          <w:rFonts w:hint="eastAsia"/>
                          <w:sz w:val="21"/>
                          <w:szCs w:val="21"/>
                        </w:rPr>
                      </w:pPr>
                    </w:p>
                    <w:p w14:paraId="17F82CBB">
                      <w:pPr>
                        <w:pStyle w:val="11"/>
                        <w:rPr>
                          <w:rFonts w:hint="eastAsia"/>
                          <w:sz w:val="21"/>
                          <w:szCs w:val="21"/>
                        </w:rPr>
                      </w:pPr>
                    </w:p>
                  </w:txbxContent>
                </v:textbox>
              </v:shape>
            </w:pict>
          </mc:Fallback>
        </mc:AlternateContent>
      </w:r>
    </w:p>
    <w:p w14:paraId="04208F8B">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0288" behindDoc="0" locked="0" layoutInCell="1" allowOverlap="1">
                <wp:simplePos x="0" y="0"/>
                <wp:positionH relativeFrom="column">
                  <wp:posOffset>-362585</wp:posOffset>
                </wp:positionH>
                <wp:positionV relativeFrom="paragraph">
                  <wp:posOffset>326390</wp:posOffset>
                </wp:positionV>
                <wp:extent cx="10420350" cy="0"/>
                <wp:effectExtent l="0" t="15875" r="6350" b="22225"/>
                <wp:wrapNone/>
                <wp:docPr id="5" name="直接连接符 4"/>
                <wp:cNvGraphicFramePr/>
                <a:graphic xmlns:a="http://schemas.openxmlformats.org/drawingml/2006/main">
                  <a:graphicData uri="http://schemas.microsoft.com/office/word/2010/wordprocessingShape">
                    <wps:wsp>
                      <wps:cNvCnPr/>
                      <wps:spPr>
                        <a:xfrm flipH="1">
                          <a:off x="0" y="0"/>
                          <a:ext cx="10420350" cy="0"/>
                        </a:xfrm>
                        <a:prstGeom prst="line">
                          <a:avLst/>
                        </a:prstGeom>
                        <a:ln w="31750">
                          <a:gradFill>
                            <a:gsLst>
                              <a:gs pos="0">
                                <a:schemeClr val="accent1">
                                  <a:hueOff val="0"/>
                                </a:schemeClr>
                              </a:gs>
                              <a:gs pos="100000">
                                <a:schemeClr val="accent1"/>
                              </a:gs>
                            </a:gsLst>
                          </a:gradFill>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id="直接连接符 4" o:spid="_x0000_s1026" o:spt="20" style="position:absolute;left:0pt;flip:x;margin-left:-28.55pt;margin-top:25.7pt;height:0pt;width:820.5pt;z-index:251660288;mso-width-relative:page;mso-height-relative:page;" filled="f" stroked="t" coordsize="21600,21600" o:gfxdata="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NoG1zYAAAACgEAAA8AAAAAAAAAAQAgAAAAIgAAAGRycy9kb3ducmV2LnhtbFBLAQIUABQA&#10;AAAIAIdO4kBU02cW8AEAAOMDAAAOAAAAAAAAAAEAIAAAACcBAABkcnMvZTJvRG9jLnhtbFBLBQYA&#10;AAAABgAGAFkBAACJBQAAAAA=&#10;">
                <v:fill on="f" focussize="0,0"/>
                <v:stroke weight="2.5pt" color="#000000" joinstyle="round"/>
                <v:imagedata o:title=""/>
                <o:lock v:ext="edit" aspectratio="f"/>
              </v:lin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59264" behindDoc="0" locked="0" layoutInCell="1" allowOverlap="1">
                <wp:simplePos x="0" y="0"/>
                <wp:positionH relativeFrom="column">
                  <wp:posOffset>335915</wp:posOffset>
                </wp:positionH>
                <wp:positionV relativeFrom="paragraph">
                  <wp:posOffset>-329565</wp:posOffset>
                </wp:positionV>
                <wp:extent cx="8891270" cy="605155"/>
                <wp:effectExtent l="0" t="0" r="0" b="0"/>
                <wp:wrapNone/>
                <wp:docPr id="4" name="文本框 3"/>
                <wp:cNvGraphicFramePr/>
                <a:graphic xmlns:a="http://schemas.openxmlformats.org/drawingml/2006/main">
                  <a:graphicData uri="http://schemas.microsoft.com/office/word/2010/wordprocessingShape">
                    <wps:wsp>
                      <wps:cNvSpPr txBox="1"/>
                      <wps:spPr>
                        <a:xfrm>
                          <a:off x="0" y="0"/>
                          <a:ext cx="8891270" cy="605155"/>
                        </a:xfrm>
                        <a:prstGeom prst="rect">
                          <a:avLst/>
                        </a:prstGeom>
                        <a:noFill/>
                        <a:ln w="15875" cap="sq" cmpd="sng">
                          <a:noFill/>
                          <a:prstDash val="solid"/>
                        </a:ln>
                        <a:effectLst>
                          <a:softEdge rad="12700"/>
                        </a:effectLst>
                      </wps:spPr>
                      <wps:txbx>
                        <w:txbxContent>
                          <w:p w14:paraId="6D1430C4">
                            <w:pPr>
                              <w:spacing w:line="480" w:lineRule="auto"/>
                              <w:ind w:firstLine="560"/>
                              <w:jc w:val="left"/>
                              <w:rPr>
                                <w:rFonts w:hint="eastAsia" w:asciiTheme="minorEastAsia" w:hAnsiTheme="minorEastAsia" w:cstheme="minorEastAsia"/>
                                <w:b/>
                                <w:bCs/>
                                <w:color w:val="0D0D0D"/>
                                <w:kern w:val="0"/>
                                <w:sz w:val="30"/>
                                <w:szCs w:val="30"/>
                                <w:shd w:val="clear" w:color="auto" w:fill="FFFFFF"/>
                                <w:lang w:bidi="ar"/>
                              </w:rPr>
                            </w:pPr>
                            <w:r>
                              <w:rPr>
                                <w:rFonts w:hint="eastAsia" w:asciiTheme="minorEastAsia" w:hAnsiTheme="minorEastAsia" w:cstheme="minorEastAsia"/>
                                <w:b/>
                                <w:bCs/>
                                <w:color w:val="0D0D0D"/>
                                <w:kern w:val="0"/>
                                <w:sz w:val="30"/>
                                <w:szCs w:val="30"/>
                                <w:shd w:val="clear" w:color="auto" w:fill="FFFFFF"/>
                                <w:lang w:bidi="ar"/>
                              </w:rPr>
                              <w:t>2.六人间宿舍家具配置--单人高架-侧梯组合式公寓床效果图</w:t>
                            </w:r>
                          </w:p>
                          <w:p w14:paraId="1B4606FD">
                            <w:pPr>
                              <w:pStyle w:val="11"/>
                              <w:rPr>
                                <w:rFonts w:hint="eastAsia"/>
                                <w:sz w:val="21"/>
                                <w:szCs w:val="21"/>
                              </w:rPr>
                            </w:pPr>
                          </w:p>
                          <w:p w14:paraId="30899B51">
                            <w:pPr>
                              <w:pStyle w:val="11"/>
                              <w:rPr>
                                <w:rFonts w:hint="eastAsia"/>
                                <w:sz w:val="21"/>
                                <w:szCs w:val="21"/>
                              </w:rPr>
                            </w:pPr>
                          </w:p>
                          <w:p w14:paraId="15944FC4">
                            <w:pPr>
                              <w:pStyle w:val="11"/>
                              <w:rPr>
                                <w:rFonts w:hint="eastAsia"/>
                                <w:sz w:val="21"/>
                                <w:szCs w:val="21"/>
                              </w:rPr>
                            </w:pPr>
                          </w:p>
                          <w:p w14:paraId="395FD9AF">
                            <w:pPr>
                              <w:pStyle w:val="11"/>
                              <w:rPr>
                                <w:rFonts w:hint="eastAsia"/>
                                <w:sz w:val="21"/>
                                <w:szCs w:val="21"/>
                              </w:rPr>
                            </w:pPr>
                          </w:p>
                          <w:p w14:paraId="7532064C">
                            <w:pPr>
                              <w:pStyle w:val="11"/>
                              <w:rPr>
                                <w:rFonts w:hint="eastAsia"/>
                                <w:sz w:val="21"/>
                                <w:szCs w:val="21"/>
                              </w:rPr>
                            </w:pPr>
                          </w:p>
                          <w:p w14:paraId="44BDC372">
                            <w:pPr>
                              <w:pStyle w:val="11"/>
                              <w:rPr>
                                <w:rFonts w:hint="eastAsia"/>
                                <w:sz w:val="21"/>
                                <w:szCs w:val="21"/>
                              </w:rPr>
                            </w:pPr>
                          </w:p>
                          <w:p w14:paraId="03872683">
                            <w:pPr>
                              <w:pStyle w:val="11"/>
                              <w:rPr>
                                <w:rFonts w:hint="eastAsia"/>
                                <w:sz w:val="21"/>
                                <w:szCs w:val="21"/>
                              </w:rPr>
                            </w:pPr>
                          </w:p>
                          <w:p w14:paraId="6B3D660A">
                            <w:pPr>
                              <w:pStyle w:val="11"/>
                              <w:rPr>
                                <w:rFonts w:hint="eastAsia"/>
                                <w:sz w:val="21"/>
                                <w:szCs w:val="21"/>
                              </w:rPr>
                            </w:pPr>
                          </w:p>
                          <w:p w14:paraId="2FF9062B">
                            <w:pPr>
                              <w:pStyle w:val="11"/>
                              <w:rPr>
                                <w:rFonts w:hint="eastAsia"/>
                                <w:sz w:val="21"/>
                                <w:szCs w:val="21"/>
                              </w:rPr>
                            </w:pPr>
                          </w:p>
                          <w:p w14:paraId="37FC77F5">
                            <w:pPr>
                              <w:pStyle w:val="11"/>
                              <w:rPr>
                                <w:rFonts w:hint="eastAsia"/>
                                <w:sz w:val="21"/>
                                <w:szCs w:val="21"/>
                              </w:rPr>
                            </w:pPr>
                          </w:p>
                          <w:p w14:paraId="50A5C3BD">
                            <w:pPr>
                              <w:pStyle w:val="11"/>
                              <w:rPr>
                                <w:rFonts w:hint="eastAsia"/>
                                <w:sz w:val="21"/>
                                <w:szCs w:val="21"/>
                              </w:rPr>
                            </w:pPr>
                          </w:p>
                          <w:p w14:paraId="2B86E879">
                            <w:pPr>
                              <w:pStyle w:val="11"/>
                              <w:rPr>
                                <w:rFonts w:hint="eastAsia"/>
                                <w:sz w:val="21"/>
                                <w:szCs w:val="21"/>
                              </w:rPr>
                            </w:pPr>
                          </w:p>
                          <w:p w14:paraId="2BB15D74">
                            <w:pPr>
                              <w:pStyle w:val="11"/>
                              <w:rPr>
                                <w:rFonts w:hint="eastAsia"/>
                                <w:sz w:val="21"/>
                                <w:szCs w:val="21"/>
                              </w:rPr>
                            </w:pPr>
                          </w:p>
                          <w:p w14:paraId="4FE31057">
                            <w:pPr>
                              <w:pStyle w:val="11"/>
                              <w:rPr>
                                <w:rFonts w:hint="eastAsia"/>
                                <w:sz w:val="21"/>
                                <w:szCs w:val="21"/>
                              </w:rPr>
                            </w:pPr>
                          </w:p>
                          <w:p w14:paraId="1AAAA049">
                            <w:pPr>
                              <w:pStyle w:val="11"/>
                              <w:rPr>
                                <w:rFonts w:hint="eastAsia"/>
                                <w:sz w:val="21"/>
                                <w:szCs w:val="21"/>
                              </w:rPr>
                            </w:pPr>
                          </w:p>
                          <w:p w14:paraId="5978E3EB">
                            <w:pPr>
                              <w:pStyle w:val="11"/>
                              <w:rPr>
                                <w:rFonts w:hint="eastAsia"/>
                                <w:sz w:val="21"/>
                                <w:szCs w:val="21"/>
                              </w:rPr>
                            </w:pPr>
                          </w:p>
                        </w:txbxContent>
                      </wps:txbx>
                      <wps:bodyPr wrap="square" rtlCol="0">
                        <a:noAutofit/>
                      </wps:bodyPr>
                    </wps:wsp>
                  </a:graphicData>
                </a:graphic>
              </wp:anchor>
            </w:drawing>
          </mc:Choice>
          <mc:Fallback>
            <w:pict>
              <v:shape id="文本框 3" o:spid="_x0000_s1026" o:spt="202" type="#_x0000_t202" style="position:absolute;left:0pt;margin-left:26.45pt;margin-top:-25.95pt;height:47.65pt;width:700.1pt;z-index:251659264;mso-width-relative:page;mso-height-relative:page;" filled="f" stroked="f" coordsize="21600,21600" o:gfxdata="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I5pZAtkAAAAKAQAADwAAAAAAAAABACAAAAAiAAAAZHJzL2Rvd25yZXYu&#10;eG1sUEsBAhQAFAAAAAgAh07iQFVdIE76AQAA4AMAAA4AAAAAAAAAAQAgAAAAKAEAAGRycy9lMm9E&#10;b2MueG1sUEsFBgAAAAAGAAYAWQEAAJQFAAAAAA==&#10;">
                <v:fill on="f" focussize="0,0"/>
                <v:stroke on="f" weight="1.25pt" endcap="square"/>
                <v:imagedata o:title=""/>
                <o:lock v:ext="edit" aspectratio="f"/>
                <v:textbox>
                  <w:txbxContent>
                    <w:p w14:paraId="6D1430C4">
                      <w:pPr>
                        <w:spacing w:line="480" w:lineRule="auto"/>
                        <w:ind w:firstLine="560"/>
                        <w:jc w:val="left"/>
                        <w:rPr>
                          <w:rFonts w:hint="eastAsia" w:asciiTheme="minorEastAsia" w:hAnsiTheme="minorEastAsia" w:cstheme="minorEastAsia"/>
                          <w:b/>
                          <w:bCs/>
                          <w:color w:val="0D0D0D"/>
                          <w:kern w:val="0"/>
                          <w:sz w:val="30"/>
                          <w:szCs w:val="30"/>
                          <w:shd w:val="clear" w:color="auto" w:fill="FFFFFF"/>
                          <w:lang w:bidi="ar"/>
                        </w:rPr>
                      </w:pPr>
                      <w:r>
                        <w:rPr>
                          <w:rFonts w:hint="eastAsia" w:asciiTheme="minorEastAsia" w:hAnsiTheme="minorEastAsia" w:cstheme="minorEastAsia"/>
                          <w:b/>
                          <w:bCs/>
                          <w:color w:val="0D0D0D"/>
                          <w:kern w:val="0"/>
                          <w:sz w:val="30"/>
                          <w:szCs w:val="30"/>
                          <w:shd w:val="clear" w:color="auto" w:fill="FFFFFF"/>
                          <w:lang w:bidi="ar"/>
                        </w:rPr>
                        <w:t>2.六人间宿舍家具配置--单人高架-侧梯组合式公寓床效果图</w:t>
                      </w:r>
                    </w:p>
                    <w:p w14:paraId="1B4606FD">
                      <w:pPr>
                        <w:pStyle w:val="11"/>
                        <w:rPr>
                          <w:rFonts w:hint="eastAsia"/>
                          <w:sz w:val="21"/>
                          <w:szCs w:val="21"/>
                        </w:rPr>
                      </w:pPr>
                    </w:p>
                    <w:p w14:paraId="30899B51">
                      <w:pPr>
                        <w:pStyle w:val="11"/>
                        <w:rPr>
                          <w:rFonts w:hint="eastAsia"/>
                          <w:sz w:val="21"/>
                          <w:szCs w:val="21"/>
                        </w:rPr>
                      </w:pPr>
                    </w:p>
                    <w:p w14:paraId="15944FC4">
                      <w:pPr>
                        <w:pStyle w:val="11"/>
                        <w:rPr>
                          <w:rFonts w:hint="eastAsia"/>
                          <w:sz w:val="21"/>
                          <w:szCs w:val="21"/>
                        </w:rPr>
                      </w:pPr>
                    </w:p>
                    <w:p w14:paraId="395FD9AF">
                      <w:pPr>
                        <w:pStyle w:val="11"/>
                        <w:rPr>
                          <w:rFonts w:hint="eastAsia"/>
                          <w:sz w:val="21"/>
                          <w:szCs w:val="21"/>
                        </w:rPr>
                      </w:pPr>
                    </w:p>
                    <w:p w14:paraId="7532064C">
                      <w:pPr>
                        <w:pStyle w:val="11"/>
                        <w:rPr>
                          <w:rFonts w:hint="eastAsia"/>
                          <w:sz w:val="21"/>
                          <w:szCs w:val="21"/>
                        </w:rPr>
                      </w:pPr>
                    </w:p>
                    <w:p w14:paraId="44BDC372">
                      <w:pPr>
                        <w:pStyle w:val="11"/>
                        <w:rPr>
                          <w:rFonts w:hint="eastAsia"/>
                          <w:sz w:val="21"/>
                          <w:szCs w:val="21"/>
                        </w:rPr>
                      </w:pPr>
                    </w:p>
                    <w:p w14:paraId="03872683">
                      <w:pPr>
                        <w:pStyle w:val="11"/>
                        <w:rPr>
                          <w:rFonts w:hint="eastAsia"/>
                          <w:sz w:val="21"/>
                          <w:szCs w:val="21"/>
                        </w:rPr>
                      </w:pPr>
                    </w:p>
                    <w:p w14:paraId="6B3D660A">
                      <w:pPr>
                        <w:pStyle w:val="11"/>
                        <w:rPr>
                          <w:rFonts w:hint="eastAsia"/>
                          <w:sz w:val="21"/>
                          <w:szCs w:val="21"/>
                        </w:rPr>
                      </w:pPr>
                    </w:p>
                    <w:p w14:paraId="2FF9062B">
                      <w:pPr>
                        <w:pStyle w:val="11"/>
                        <w:rPr>
                          <w:rFonts w:hint="eastAsia"/>
                          <w:sz w:val="21"/>
                          <w:szCs w:val="21"/>
                        </w:rPr>
                      </w:pPr>
                    </w:p>
                    <w:p w14:paraId="37FC77F5">
                      <w:pPr>
                        <w:pStyle w:val="11"/>
                        <w:rPr>
                          <w:rFonts w:hint="eastAsia"/>
                          <w:sz w:val="21"/>
                          <w:szCs w:val="21"/>
                        </w:rPr>
                      </w:pPr>
                    </w:p>
                    <w:p w14:paraId="50A5C3BD">
                      <w:pPr>
                        <w:pStyle w:val="11"/>
                        <w:rPr>
                          <w:rFonts w:hint="eastAsia"/>
                          <w:sz w:val="21"/>
                          <w:szCs w:val="21"/>
                        </w:rPr>
                      </w:pPr>
                    </w:p>
                    <w:p w14:paraId="2B86E879">
                      <w:pPr>
                        <w:pStyle w:val="11"/>
                        <w:rPr>
                          <w:rFonts w:hint="eastAsia"/>
                          <w:sz w:val="21"/>
                          <w:szCs w:val="21"/>
                        </w:rPr>
                      </w:pPr>
                    </w:p>
                    <w:p w14:paraId="2BB15D74">
                      <w:pPr>
                        <w:pStyle w:val="11"/>
                        <w:rPr>
                          <w:rFonts w:hint="eastAsia"/>
                          <w:sz w:val="21"/>
                          <w:szCs w:val="21"/>
                        </w:rPr>
                      </w:pPr>
                    </w:p>
                    <w:p w14:paraId="4FE31057">
                      <w:pPr>
                        <w:pStyle w:val="11"/>
                        <w:rPr>
                          <w:rFonts w:hint="eastAsia"/>
                          <w:sz w:val="21"/>
                          <w:szCs w:val="21"/>
                        </w:rPr>
                      </w:pPr>
                    </w:p>
                    <w:p w14:paraId="1AAAA049">
                      <w:pPr>
                        <w:pStyle w:val="11"/>
                        <w:rPr>
                          <w:rFonts w:hint="eastAsia"/>
                          <w:sz w:val="21"/>
                          <w:szCs w:val="21"/>
                        </w:rPr>
                      </w:pPr>
                    </w:p>
                    <w:p w14:paraId="5978E3EB">
                      <w:pPr>
                        <w:pStyle w:val="11"/>
                        <w:rPr>
                          <w:rFonts w:hint="eastAsia"/>
                          <w:sz w:val="21"/>
                          <w:szCs w:val="21"/>
                        </w:rPr>
                      </w:pP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1312" behindDoc="0" locked="0" layoutInCell="1" allowOverlap="1">
                <wp:simplePos x="0" y="0"/>
                <wp:positionH relativeFrom="column">
                  <wp:posOffset>10465435</wp:posOffset>
                </wp:positionH>
                <wp:positionV relativeFrom="paragraph">
                  <wp:posOffset>5913120</wp:posOffset>
                </wp:positionV>
                <wp:extent cx="1078230" cy="521970"/>
                <wp:effectExtent l="0" t="0" r="0" b="0"/>
                <wp:wrapNone/>
                <wp:docPr id="2" name="矩形 1"/>
                <wp:cNvGraphicFramePr/>
                <a:graphic xmlns:a="http://schemas.openxmlformats.org/drawingml/2006/main">
                  <a:graphicData uri="http://schemas.microsoft.com/office/word/2010/wordprocessingShape">
                    <wps:wsp>
                      <wps:cNvSpPr/>
                      <wps:spPr>
                        <a:xfrm>
                          <a:off x="0" y="0"/>
                          <a:ext cx="1078230" cy="521970"/>
                        </a:xfrm>
                        <a:prstGeom prst="rect">
                          <a:avLst/>
                        </a:prstGeom>
                        <a:noFill/>
                        <a:ln>
                          <a:noFill/>
                        </a:ln>
                      </wps:spPr>
                      <wps:txbx>
                        <w:txbxContent>
                          <w:p w14:paraId="72A24FCA">
                            <w:pPr>
                              <w:pStyle w:val="11"/>
                              <w:jc w:val="center"/>
                              <w:rPr>
                                <w:rFonts w:hint="eastAsia"/>
                              </w:rPr>
                            </w:pPr>
                            <w:r>
                              <w:rPr>
                                <w:rFonts w:asciiTheme="minorHAnsi" w:hAnsiTheme="minorBidi" w:eastAsiaTheme="minorEastAsia"/>
                                <w:b/>
                                <w:kern w:val="24"/>
                                <w:sz w:val="56"/>
                                <w:szCs w:val="56"/>
                                <w14:shadow w14:blurRad="0" w14:dist="38100" w14:dir="2640000" w14:sx="0" w14:sy="0" w14:kx="0" w14:ky="0" w14:algn="bl">
                                  <w14:schemeClr w14:val="tx2">
                                    <w14:lumMod w14:val="75000"/>
                                  </w14:schemeClr>
                                </w14:shadow>
                                <w14:textOutline w14:w="12700" w14:cap="flat" w14:cmpd="sng" w14:algn="ctr">
                                  <w14:solidFill>
                                    <w14:schemeClr w14:val="tx2">
                                      <w14:lumMod w14:val="75000"/>
                                    </w14:schemeClr>
                                  </w14:solidFill>
                                  <w14:prstDash w14:val="solid"/>
                                  <w14:round/>
                                </w14:textOutline>
                              </w:rPr>
                              <w:t>6人间</w:t>
                            </w:r>
                          </w:p>
                        </w:txbxContent>
                      </wps:txbx>
                      <wps:bodyPr wrap="none" rtlCol="0" anchor="t">
                        <a:spAutoFit/>
                      </wps:bodyPr>
                    </wps:wsp>
                  </a:graphicData>
                </a:graphic>
              </wp:anchor>
            </w:drawing>
          </mc:Choice>
          <mc:Fallback>
            <w:pict>
              <v:rect id="矩形 1" o:spid="_x0000_s1026" o:spt="1" style="position:absolute;left:0pt;margin-left:824.05pt;margin-top:465.6pt;height:41.1pt;width:84.9pt;mso-wrap-style:none;z-index:251661312;mso-width-relative:page;mso-height-relative:page;" filled="f" stroked="f" coordsize="21600,21600" o:gfxdata="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TSKSx2wAAAA4BAAAPAAAAAAAAAAEAIAAAACIAAABkcnMvZG93bnJldi54bWxQ&#10;SwECFAAUAAAACACHTuJAZWkKN7sBAABxAwAADgAAAAAAAAABACAAAAAqAQAAZHJzL2Uyb0RvYy54&#10;bWxQSwUGAAAAAAYABgBZAQAAVwUAAAAA&#10;">
                <v:fill on="f" focussize="0,0"/>
                <v:stroke on="f"/>
                <v:imagedata o:title=""/>
                <o:lock v:ext="edit" aspectratio="f"/>
                <v:textbox style="mso-fit-shape-to-text:t;">
                  <w:txbxContent>
                    <w:p w14:paraId="72A24FCA">
                      <w:pPr>
                        <w:pStyle w:val="11"/>
                        <w:jc w:val="center"/>
                        <w:rPr>
                          <w:rFonts w:hint="eastAsia"/>
                        </w:rPr>
                      </w:pPr>
                      <w:r>
                        <w:rPr>
                          <w:rFonts w:asciiTheme="minorHAnsi" w:hAnsiTheme="minorBidi" w:eastAsiaTheme="minorEastAsia"/>
                          <w:b/>
                          <w:kern w:val="24"/>
                          <w:sz w:val="56"/>
                          <w:szCs w:val="56"/>
                          <w14:shadow w14:blurRad="0" w14:dist="38100" w14:dir="2640000" w14:sx="0" w14:sy="0" w14:kx="0" w14:ky="0" w14:algn="bl">
                            <w14:schemeClr w14:val="tx2">
                              <w14:lumMod w14:val="75000"/>
                            </w14:schemeClr>
                          </w14:shadow>
                          <w14:textOutline w14:w="12700" w14:cap="flat" w14:cmpd="sng" w14:algn="ctr">
                            <w14:solidFill>
                              <w14:schemeClr w14:val="tx2">
                                <w14:lumMod w14:val="75000"/>
                              </w14:schemeClr>
                            </w14:solidFill>
                            <w14:prstDash w14:val="solid"/>
                            <w14:round/>
                          </w14:textOutline>
                        </w:rPr>
                        <w:t>6人间</w:t>
                      </w:r>
                    </w:p>
                  </w:txbxContent>
                </v:textbox>
              </v:rect>
            </w:pict>
          </mc:Fallback>
        </mc:AlternateContent>
      </w:r>
    </w:p>
    <w:p w14:paraId="7F63BC73">
      <w:pPr>
        <w:rPr>
          <w:rFonts w:hint="eastAsia" w:asciiTheme="minorEastAsia" w:hAnsiTheme="minorEastAsia" w:eastAsiaTheme="minorEastAsia" w:cstheme="minorEastAsia"/>
          <w:color w:val="auto"/>
          <w:sz w:val="24"/>
          <w:szCs w:val="24"/>
          <w:highlight w:val="none"/>
        </w:rPr>
      </w:pPr>
    </w:p>
    <w:p w14:paraId="01D61A69">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87936" behindDoc="1" locked="0" layoutInCell="1" allowOverlap="1">
            <wp:simplePos x="0" y="0"/>
            <wp:positionH relativeFrom="column">
              <wp:posOffset>579755</wp:posOffset>
            </wp:positionH>
            <wp:positionV relativeFrom="paragraph">
              <wp:posOffset>109220</wp:posOffset>
            </wp:positionV>
            <wp:extent cx="7794625" cy="6224905"/>
            <wp:effectExtent l="0" t="0" r="3175" b="10795"/>
            <wp:wrapNone/>
            <wp:docPr id="11" name="图片 11" descr="b04fd89b0e071a05a450351845ff1e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04fd89b0e071a05a450351845ff1edb"/>
                    <pic:cNvPicPr>
                      <a:picLocks noChangeAspect="1"/>
                    </pic:cNvPicPr>
                  </pic:nvPicPr>
                  <pic:blipFill>
                    <a:blip r:embed="rId17"/>
                    <a:srcRect l="16209" t="2220" r="16362" b="2043"/>
                    <a:stretch>
                      <a:fillRect/>
                    </a:stretch>
                  </pic:blipFill>
                  <pic:spPr>
                    <a:xfrm>
                      <a:off x="0" y="0"/>
                      <a:ext cx="7794625" cy="6224905"/>
                    </a:xfrm>
                    <a:prstGeom prst="rect">
                      <a:avLst/>
                    </a:prstGeom>
                  </pic:spPr>
                </pic:pic>
              </a:graphicData>
            </a:graphic>
          </wp:anchor>
        </w:drawing>
      </w:r>
    </w:p>
    <w:p w14:paraId="08D3C909">
      <w:pPr>
        <w:rPr>
          <w:rFonts w:hint="eastAsia" w:asciiTheme="minorEastAsia" w:hAnsiTheme="minorEastAsia" w:eastAsiaTheme="minorEastAsia" w:cstheme="minorEastAsia"/>
          <w:color w:val="auto"/>
          <w:sz w:val="24"/>
          <w:szCs w:val="24"/>
          <w:highlight w:val="none"/>
        </w:rPr>
      </w:pPr>
    </w:p>
    <w:p w14:paraId="6515BDFD">
      <w:pPr>
        <w:rPr>
          <w:rFonts w:hint="eastAsia" w:asciiTheme="minorEastAsia" w:hAnsiTheme="minorEastAsia" w:eastAsiaTheme="minorEastAsia" w:cstheme="minorEastAsia"/>
          <w:color w:val="auto"/>
          <w:sz w:val="24"/>
          <w:szCs w:val="24"/>
          <w:highlight w:val="none"/>
        </w:rPr>
      </w:pPr>
    </w:p>
    <w:p w14:paraId="63D57FD3">
      <w:pPr>
        <w:rPr>
          <w:rFonts w:hint="eastAsia" w:asciiTheme="minorEastAsia" w:hAnsiTheme="minorEastAsia" w:eastAsiaTheme="minorEastAsia" w:cstheme="minorEastAsia"/>
          <w:color w:val="auto"/>
          <w:sz w:val="24"/>
          <w:szCs w:val="24"/>
          <w:highlight w:val="none"/>
        </w:rPr>
      </w:pPr>
    </w:p>
    <w:p w14:paraId="6FD426D2">
      <w:pPr>
        <w:rPr>
          <w:rFonts w:hint="eastAsia" w:asciiTheme="minorEastAsia" w:hAnsiTheme="minorEastAsia" w:eastAsiaTheme="minorEastAsia" w:cstheme="minorEastAsia"/>
          <w:color w:val="auto"/>
          <w:sz w:val="24"/>
          <w:szCs w:val="24"/>
          <w:highlight w:val="none"/>
        </w:rPr>
      </w:pPr>
    </w:p>
    <w:p w14:paraId="7D4C9B50">
      <w:pPr>
        <w:rPr>
          <w:rFonts w:hint="eastAsia" w:asciiTheme="minorEastAsia" w:hAnsiTheme="minorEastAsia" w:eastAsiaTheme="minorEastAsia" w:cstheme="minorEastAsia"/>
          <w:color w:val="auto"/>
          <w:sz w:val="24"/>
          <w:szCs w:val="24"/>
          <w:highlight w:val="none"/>
        </w:rPr>
      </w:pPr>
    </w:p>
    <w:p w14:paraId="72DBDA24">
      <w:pPr>
        <w:rPr>
          <w:rFonts w:hint="eastAsia" w:asciiTheme="minorEastAsia" w:hAnsiTheme="minorEastAsia" w:eastAsiaTheme="minorEastAsia" w:cstheme="minorEastAsia"/>
          <w:color w:val="auto"/>
          <w:sz w:val="24"/>
          <w:szCs w:val="24"/>
          <w:highlight w:val="none"/>
        </w:rPr>
      </w:pPr>
    </w:p>
    <w:p w14:paraId="753C5BCC">
      <w:pPr>
        <w:rPr>
          <w:rFonts w:hint="eastAsia" w:asciiTheme="minorEastAsia" w:hAnsiTheme="minorEastAsia" w:eastAsiaTheme="minorEastAsia" w:cstheme="minorEastAsia"/>
          <w:color w:val="auto"/>
          <w:sz w:val="24"/>
          <w:szCs w:val="24"/>
          <w:highlight w:val="none"/>
        </w:rPr>
      </w:pPr>
    </w:p>
    <w:p w14:paraId="3D556D0A">
      <w:pPr>
        <w:rPr>
          <w:rFonts w:hint="eastAsia" w:asciiTheme="minorEastAsia" w:hAnsiTheme="minorEastAsia" w:eastAsiaTheme="minorEastAsia" w:cstheme="minorEastAsia"/>
          <w:color w:val="auto"/>
          <w:sz w:val="24"/>
          <w:szCs w:val="24"/>
          <w:highlight w:val="none"/>
        </w:rPr>
      </w:pPr>
    </w:p>
    <w:p w14:paraId="21A4061E">
      <w:pPr>
        <w:rPr>
          <w:rFonts w:hint="eastAsia" w:asciiTheme="minorEastAsia" w:hAnsiTheme="minorEastAsia" w:eastAsiaTheme="minorEastAsia" w:cstheme="minorEastAsia"/>
          <w:color w:val="auto"/>
          <w:sz w:val="24"/>
          <w:szCs w:val="24"/>
          <w:highlight w:val="none"/>
        </w:rPr>
      </w:pPr>
    </w:p>
    <w:p w14:paraId="14BCE0FF">
      <w:pPr>
        <w:rPr>
          <w:rFonts w:hint="eastAsia" w:asciiTheme="minorEastAsia" w:hAnsiTheme="minorEastAsia" w:eastAsiaTheme="minorEastAsia" w:cstheme="minorEastAsia"/>
          <w:color w:val="auto"/>
          <w:sz w:val="24"/>
          <w:szCs w:val="24"/>
          <w:highlight w:val="none"/>
        </w:rPr>
      </w:pPr>
    </w:p>
    <w:p w14:paraId="4E1B0C1C">
      <w:pPr>
        <w:rPr>
          <w:rFonts w:hint="eastAsia" w:asciiTheme="minorEastAsia" w:hAnsiTheme="minorEastAsia" w:eastAsiaTheme="minorEastAsia" w:cstheme="minorEastAsia"/>
          <w:color w:val="auto"/>
          <w:sz w:val="24"/>
          <w:szCs w:val="24"/>
          <w:highlight w:val="none"/>
        </w:rPr>
      </w:pPr>
    </w:p>
    <w:p w14:paraId="299F75B3">
      <w:pPr>
        <w:rPr>
          <w:rFonts w:hint="eastAsia" w:asciiTheme="minorEastAsia" w:hAnsiTheme="minorEastAsia" w:eastAsiaTheme="minorEastAsia" w:cstheme="minorEastAsia"/>
          <w:color w:val="auto"/>
          <w:sz w:val="24"/>
          <w:szCs w:val="24"/>
          <w:highlight w:val="none"/>
        </w:rPr>
      </w:pPr>
    </w:p>
    <w:p w14:paraId="5C701AAC">
      <w:pPr>
        <w:rPr>
          <w:rFonts w:hint="eastAsia" w:asciiTheme="minorEastAsia" w:hAnsiTheme="minorEastAsia" w:eastAsiaTheme="minorEastAsia" w:cstheme="minorEastAsia"/>
          <w:color w:val="auto"/>
          <w:sz w:val="24"/>
          <w:szCs w:val="24"/>
          <w:highlight w:val="none"/>
        </w:rPr>
      </w:pPr>
    </w:p>
    <w:p w14:paraId="2072B21E">
      <w:pPr>
        <w:rPr>
          <w:rFonts w:hint="eastAsia" w:asciiTheme="minorEastAsia" w:hAnsiTheme="minorEastAsia" w:eastAsiaTheme="minorEastAsia" w:cstheme="minorEastAsia"/>
          <w:color w:val="auto"/>
          <w:sz w:val="24"/>
          <w:szCs w:val="24"/>
          <w:highlight w:val="none"/>
        </w:rPr>
      </w:pPr>
    </w:p>
    <w:p w14:paraId="0C28E8F2">
      <w:pPr>
        <w:rPr>
          <w:rFonts w:hint="eastAsia" w:asciiTheme="minorEastAsia" w:hAnsiTheme="minorEastAsia" w:eastAsiaTheme="minorEastAsia" w:cstheme="minorEastAsia"/>
          <w:color w:val="auto"/>
          <w:sz w:val="24"/>
          <w:szCs w:val="24"/>
          <w:highlight w:val="none"/>
        </w:rPr>
      </w:pPr>
    </w:p>
    <w:p w14:paraId="5144D64F">
      <w:pPr>
        <w:rPr>
          <w:rFonts w:hint="eastAsia" w:asciiTheme="minorEastAsia" w:hAnsiTheme="minorEastAsia" w:eastAsiaTheme="minorEastAsia" w:cstheme="minorEastAsia"/>
          <w:color w:val="auto"/>
          <w:sz w:val="24"/>
          <w:szCs w:val="24"/>
          <w:highlight w:val="none"/>
        </w:rPr>
      </w:pPr>
    </w:p>
    <w:p w14:paraId="44E2B116">
      <w:pPr>
        <w:rPr>
          <w:rFonts w:hint="eastAsia" w:asciiTheme="minorEastAsia" w:hAnsiTheme="minorEastAsia" w:eastAsiaTheme="minorEastAsia" w:cstheme="minorEastAsia"/>
          <w:color w:val="auto"/>
          <w:sz w:val="24"/>
          <w:szCs w:val="24"/>
          <w:highlight w:val="none"/>
        </w:rPr>
      </w:pPr>
    </w:p>
    <w:p w14:paraId="0FD38F3F">
      <w:pPr>
        <w:rPr>
          <w:rFonts w:hint="eastAsia" w:asciiTheme="minorEastAsia" w:hAnsiTheme="minorEastAsia" w:eastAsiaTheme="minorEastAsia" w:cstheme="minorEastAsia"/>
          <w:color w:val="auto"/>
          <w:sz w:val="24"/>
          <w:szCs w:val="24"/>
          <w:highlight w:val="none"/>
        </w:rPr>
      </w:pPr>
    </w:p>
    <w:p w14:paraId="761CDD91">
      <w:pPr>
        <w:rPr>
          <w:rFonts w:hint="eastAsia" w:asciiTheme="minorEastAsia" w:hAnsiTheme="minorEastAsia" w:eastAsiaTheme="minorEastAsia" w:cstheme="minorEastAsia"/>
          <w:color w:val="auto"/>
          <w:sz w:val="24"/>
          <w:szCs w:val="24"/>
          <w:highlight w:val="none"/>
        </w:rPr>
      </w:pPr>
    </w:p>
    <w:p w14:paraId="69D99592">
      <w:pPr>
        <w:rPr>
          <w:rFonts w:hint="eastAsia" w:asciiTheme="minorEastAsia" w:hAnsiTheme="minorEastAsia" w:eastAsiaTheme="minorEastAsia" w:cstheme="minorEastAsia"/>
          <w:color w:val="auto"/>
          <w:sz w:val="24"/>
          <w:szCs w:val="24"/>
          <w:highlight w:val="none"/>
        </w:rPr>
      </w:pPr>
    </w:p>
    <w:p w14:paraId="79060817">
      <w:pPr>
        <w:rPr>
          <w:rFonts w:hint="eastAsia" w:asciiTheme="minorEastAsia" w:hAnsiTheme="minorEastAsia" w:eastAsiaTheme="minorEastAsia" w:cstheme="minorEastAsia"/>
          <w:color w:val="auto"/>
          <w:sz w:val="24"/>
          <w:szCs w:val="24"/>
          <w:highlight w:val="none"/>
        </w:rPr>
      </w:pPr>
    </w:p>
    <w:p w14:paraId="0A2E025C">
      <w:pPr>
        <w:rPr>
          <w:rFonts w:hint="eastAsia" w:asciiTheme="minorEastAsia" w:hAnsiTheme="minorEastAsia" w:eastAsiaTheme="minorEastAsia" w:cstheme="minorEastAsia"/>
          <w:color w:val="auto"/>
          <w:sz w:val="24"/>
          <w:szCs w:val="24"/>
          <w:highlight w:val="none"/>
        </w:rPr>
      </w:pPr>
    </w:p>
    <w:p w14:paraId="06841B82">
      <w:pPr>
        <w:rPr>
          <w:rFonts w:hint="eastAsia" w:asciiTheme="minorEastAsia" w:hAnsiTheme="minorEastAsia" w:eastAsiaTheme="minorEastAsia" w:cstheme="minorEastAsia"/>
          <w:color w:val="auto"/>
          <w:sz w:val="24"/>
          <w:szCs w:val="24"/>
          <w:highlight w:val="none"/>
        </w:rPr>
      </w:pPr>
    </w:p>
    <w:p w14:paraId="749C7CD6">
      <w:pPr>
        <w:rPr>
          <w:rFonts w:hint="eastAsia" w:asciiTheme="minorEastAsia" w:hAnsiTheme="minorEastAsia" w:eastAsiaTheme="minorEastAsia" w:cstheme="minorEastAsia"/>
          <w:color w:val="auto"/>
          <w:sz w:val="24"/>
          <w:szCs w:val="24"/>
          <w:highlight w:val="none"/>
        </w:rPr>
      </w:pPr>
    </w:p>
    <w:p w14:paraId="2A4B45D1">
      <w:pPr>
        <w:rPr>
          <w:rFonts w:hint="eastAsia" w:asciiTheme="minorEastAsia" w:hAnsiTheme="minorEastAsia" w:eastAsiaTheme="minorEastAsia" w:cstheme="minorEastAsia"/>
          <w:color w:val="auto"/>
          <w:sz w:val="24"/>
          <w:szCs w:val="24"/>
          <w:highlight w:val="none"/>
        </w:rPr>
      </w:pPr>
    </w:p>
    <w:p w14:paraId="2FA1F87B">
      <w:pPr>
        <w:rPr>
          <w:rFonts w:hint="eastAsia" w:asciiTheme="minorEastAsia" w:hAnsiTheme="minorEastAsia" w:eastAsiaTheme="minorEastAsia" w:cstheme="minorEastAsia"/>
          <w:color w:val="auto"/>
          <w:sz w:val="24"/>
          <w:szCs w:val="24"/>
          <w:highlight w:val="none"/>
        </w:rPr>
      </w:pPr>
    </w:p>
    <w:p w14:paraId="0F6D35B0">
      <w:pPr>
        <w:rPr>
          <w:rFonts w:hint="eastAsia" w:asciiTheme="minorEastAsia" w:hAnsiTheme="minorEastAsia" w:eastAsiaTheme="minorEastAsia" w:cstheme="minorEastAsia"/>
          <w:color w:val="auto"/>
          <w:sz w:val="24"/>
          <w:szCs w:val="24"/>
          <w:highlight w:val="none"/>
        </w:rPr>
      </w:pPr>
    </w:p>
    <w:p w14:paraId="70207BBF">
      <w:pPr>
        <w:rPr>
          <w:rFonts w:hint="eastAsia" w:asciiTheme="minorEastAsia" w:hAnsiTheme="minorEastAsia" w:eastAsiaTheme="minorEastAsia" w:cstheme="minorEastAsia"/>
          <w:color w:val="auto"/>
          <w:sz w:val="24"/>
          <w:szCs w:val="24"/>
          <w:highlight w:val="none"/>
        </w:rPr>
      </w:pPr>
    </w:p>
    <w:p w14:paraId="2E82BA76">
      <w:pP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8480" behindDoc="0" locked="0" layoutInCell="1" allowOverlap="1">
                <wp:simplePos x="0" y="0"/>
                <wp:positionH relativeFrom="column">
                  <wp:posOffset>6652895</wp:posOffset>
                </wp:positionH>
                <wp:positionV relativeFrom="paragraph">
                  <wp:posOffset>4698365</wp:posOffset>
                </wp:positionV>
                <wp:extent cx="3136265" cy="1211580"/>
                <wp:effectExtent l="0" t="0" r="0" b="0"/>
                <wp:wrapNone/>
                <wp:docPr id="18" name="文本框 15"/>
                <wp:cNvGraphicFramePr/>
                <a:graphic xmlns:a="http://schemas.openxmlformats.org/drawingml/2006/main">
                  <a:graphicData uri="http://schemas.microsoft.com/office/word/2010/wordprocessingShape">
                    <wps:wsp>
                      <wps:cNvSpPr txBox="1"/>
                      <wps:spPr>
                        <a:xfrm>
                          <a:off x="0" y="0"/>
                          <a:ext cx="3136265" cy="1211580"/>
                        </a:xfrm>
                        <a:prstGeom prst="rect">
                          <a:avLst/>
                        </a:prstGeom>
                        <a:noFill/>
                      </wps:spPr>
                      <wps:txbx>
                        <w:txbxContent>
                          <w:p w14:paraId="4F44BD45">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大衣柜设计，超大储存空间。衣柜内部分上下两层，内设一层板，分层收纳，下柜配有一根挂衣杆，可挂大件衣服</w:t>
                            </w:r>
                          </w:p>
                        </w:txbxContent>
                      </wps:txbx>
                      <wps:bodyPr wrap="square" rtlCol="0" anchor="t">
                        <a:noAutofit/>
                      </wps:bodyPr>
                    </wps:wsp>
                  </a:graphicData>
                </a:graphic>
              </wp:anchor>
            </w:drawing>
          </mc:Choice>
          <mc:Fallback>
            <w:pict>
              <v:shape id="文本框 15" o:spid="_x0000_s1026" o:spt="202" type="#_x0000_t202" style="position:absolute;left:0pt;margin-left:523.85pt;margin-top:369.95pt;height:95.4pt;width:246.95pt;z-index:251668480;mso-width-relative:page;mso-height-relative:page;" filled="f" stroked="f" coordsize="21600,21600" o:gfxdata="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SVTYrZAAAADQEAAA8AAAAAAAAAAQAgAAAAIgAAAGRycy9kb3ducmV2&#10;LnhtbFBLAQIUABQAAAAIAIdO4kC8Qlj1wgEAAGsDAAAOAAAAAAAAAAEAIAAAACgBAABkcnMvZTJv&#10;RG9jLnhtbFBLBQYAAAAABgAGAFkBAABcBQAAAAA=&#10;">
                <v:fill on="f" focussize="0,0"/>
                <v:stroke on="f"/>
                <v:imagedata o:title=""/>
                <o:lock v:ext="edit" aspectratio="f"/>
                <v:textbox>
                  <w:txbxContent>
                    <w:p w14:paraId="4F44BD45">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大衣柜设计，超大储存空间。衣柜内部分上下两层，内设一层板，分层收纳，下柜配有一根挂衣杆，可挂大件衣服</w:t>
                      </w: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4864" behindDoc="0" locked="0" layoutInCell="1" allowOverlap="1">
                <wp:simplePos x="0" y="0"/>
                <wp:positionH relativeFrom="column">
                  <wp:posOffset>6792595</wp:posOffset>
                </wp:positionH>
                <wp:positionV relativeFrom="paragraph">
                  <wp:posOffset>1524635</wp:posOffset>
                </wp:positionV>
                <wp:extent cx="3116580" cy="3131820"/>
                <wp:effectExtent l="0" t="0" r="0" b="0"/>
                <wp:wrapNone/>
                <wp:docPr id="31" name="文本框 19"/>
                <wp:cNvGraphicFramePr/>
                <a:graphic xmlns:a="http://schemas.openxmlformats.org/drawingml/2006/main">
                  <a:graphicData uri="http://schemas.microsoft.com/office/word/2010/wordprocessingShape">
                    <wps:wsp>
                      <wps:cNvSpPr txBox="1"/>
                      <wps:spPr>
                        <a:xfrm>
                          <a:off x="0" y="0"/>
                          <a:ext cx="3116580" cy="3131820"/>
                        </a:xfrm>
                        <a:prstGeom prst="rect">
                          <a:avLst/>
                        </a:prstGeom>
                        <a:noFill/>
                      </wps:spPr>
                      <wps:txbx>
                        <w:txbxContent>
                          <w:p w14:paraId="64B0532A">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 xml:space="preserve">其余配件说明：衣柜、抽屉、储物柜均采用带有荧光功能的拉手，避免在夜间碰撞柜体；所有锁片均采用注塑包边：两端为半圆型设计，芯部零件采用1.2mm厚度的不锈钢板一次冲压成型，这样不但保证锁片的强度而且保证锁片边角对使用者在使用时的安全。 </w:t>
                            </w:r>
                          </w:p>
                          <w:p w14:paraId="73C4108C">
                            <w:pPr>
                              <w:pStyle w:val="11"/>
                              <w:rPr>
                                <w:rFonts w:hint="eastAsia"/>
                                <w:sz w:val="21"/>
                                <w:szCs w:val="21"/>
                              </w:rPr>
                            </w:pPr>
                          </w:p>
                        </w:txbxContent>
                      </wps:txbx>
                      <wps:bodyPr wrap="square" rtlCol="0" anchor="t">
                        <a:noAutofit/>
                      </wps:bodyPr>
                    </wps:wsp>
                  </a:graphicData>
                </a:graphic>
              </wp:anchor>
            </w:drawing>
          </mc:Choice>
          <mc:Fallback>
            <w:pict>
              <v:shape id="文本框 19" o:spid="_x0000_s1026" o:spt="202" type="#_x0000_t202" style="position:absolute;left:0pt;margin-left:534.85pt;margin-top:120.05pt;height:246.6pt;width:245.4pt;z-index:251684864;mso-width-relative:page;mso-height-relative:page;" filled="f" stroked="f" coordsize="21600,21600" o:gfxdata="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BVoGITZAAAADQEAAA8AAAAAAAAAAQAgAAAAIgAAAGRycy9kb3ducmV2&#10;LnhtbFBLAQIUABQAAAAIAIdO4kBGUlSNwgEAAGsDAAAOAAAAAAAAAAEAIAAAACgBAABkcnMvZTJv&#10;RG9jLnhtbFBLBQYAAAAABgAGAFkBAABcBQAAAAA=&#10;">
                <v:fill on="f" focussize="0,0"/>
                <v:stroke on="f"/>
                <v:imagedata o:title=""/>
                <o:lock v:ext="edit" aspectratio="f"/>
                <v:textbox>
                  <w:txbxContent>
                    <w:p w14:paraId="64B0532A">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 xml:space="preserve">其余配件说明：衣柜、抽屉、储物柜均采用带有荧光功能的拉手，避免在夜间碰撞柜体；所有锁片均采用注塑包边：两端为半圆型设计，芯部零件采用1.2mm厚度的不锈钢板一次冲压成型，这样不但保证锁片的强度而且保证锁片边角对使用者在使用时的安全。 </w:t>
                      </w:r>
                    </w:p>
                    <w:p w14:paraId="73C4108C">
                      <w:pPr>
                        <w:pStyle w:val="11"/>
                        <w:rPr>
                          <w:rFonts w:hint="eastAsia"/>
                          <w:sz w:val="21"/>
                          <w:szCs w:val="21"/>
                        </w:rPr>
                      </w:pP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3600" behindDoc="0" locked="0" layoutInCell="1" allowOverlap="1">
                <wp:simplePos x="0" y="0"/>
                <wp:positionH relativeFrom="column">
                  <wp:posOffset>-4445</wp:posOffset>
                </wp:positionH>
                <wp:positionV relativeFrom="paragraph">
                  <wp:posOffset>5456555</wp:posOffset>
                </wp:positionV>
                <wp:extent cx="2267585" cy="930275"/>
                <wp:effectExtent l="0" t="0" r="0" b="0"/>
                <wp:wrapNone/>
                <wp:docPr id="28" name="文本框 27"/>
                <wp:cNvGraphicFramePr/>
                <a:graphic xmlns:a="http://schemas.openxmlformats.org/drawingml/2006/main">
                  <a:graphicData uri="http://schemas.microsoft.com/office/word/2010/wordprocessingShape">
                    <wps:wsp>
                      <wps:cNvSpPr txBox="1"/>
                      <wps:spPr>
                        <a:xfrm>
                          <a:off x="0" y="0"/>
                          <a:ext cx="2267585" cy="930275"/>
                        </a:xfrm>
                        <a:prstGeom prst="rect">
                          <a:avLst/>
                        </a:prstGeom>
                        <a:noFill/>
                      </wps:spPr>
                      <wps:txbx>
                        <w:txbxContent>
                          <w:p w14:paraId="3F1F40AC">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抽屉及储物柜可存放重要物品、生活用品</w:t>
                            </w:r>
                          </w:p>
                        </w:txbxContent>
                      </wps:txbx>
                      <wps:bodyPr wrap="square" rtlCol="0" anchor="t">
                        <a:noAutofit/>
                      </wps:bodyPr>
                    </wps:wsp>
                  </a:graphicData>
                </a:graphic>
              </wp:anchor>
            </w:drawing>
          </mc:Choice>
          <mc:Fallback>
            <w:pict>
              <v:shape id="文本框 27" o:spid="_x0000_s1026" o:spt="202" type="#_x0000_t202" style="position:absolute;left:0pt;margin-left:-0.35pt;margin-top:429.65pt;height:73.25pt;width:178.55pt;z-index:251673600;mso-width-relative:page;mso-height-relative:page;" filled="f" stroked="f" coordsize="21600,21600" o:gfxdata="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Tu1/mdgAAAAKAQAADwAAAAAAAAABACAAAAAiAAAAZHJzL2Rvd25yZXYu&#10;eG1sUEsBAhQAFAAAAAgAh07iQKJcnpLCAQAAagMAAA4AAAAAAAAAAQAgAAAAJwEAAGRycy9lMm9E&#10;b2MueG1sUEsFBgAAAAAGAAYAWQEAAFsFAAAAAA==&#10;">
                <v:fill on="f" focussize="0,0"/>
                <v:stroke on="f"/>
                <v:imagedata o:title=""/>
                <o:lock v:ext="edit" aspectratio="f"/>
                <v:textbox>
                  <w:txbxContent>
                    <w:p w14:paraId="3F1F40AC">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抽屉及储物柜可存放重要物品、生活用品</w:t>
                      </w: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6432" behindDoc="0" locked="0" layoutInCell="1" allowOverlap="1">
                <wp:simplePos x="0" y="0"/>
                <wp:positionH relativeFrom="column">
                  <wp:posOffset>5123180</wp:posOffset>
                </wp:positionH>
                <wp:positionV relativeFrom="paragraph">
                  <wp:posOffset>2669540</wp:posOffset>
                </wp:positionV>
                <wp:extent cx="1380490" cy="2988310"/>
                <wp:effectExtent l="6350" t="6350" r="10160" b="15240"/>
                <wp:wrapNone/>
                <wp:docPr id="16" name="矩形 10"/>
                <wp:cNvGraphicFramePr/>
                <a:graphic xmlns:a="http://schemas.openxmlformats.org/drawingml/2006/main">
                  <a:graphicData uri="http://schemas.microsoft.com/office/word/2010/wordprocessingShape">
                    <wps:wsp>
                      <wps:cNvSpPr/>
                      <wps:spPr>
                        <a:xfrm>
                          <a:off x="0" y="0"/>
                          <a:ext cx="1380490" cy="298831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10" o:spid="_x0000_s1026" o:spt="1" style="position:absolute;left:0pt;margin-left:403.4pt;margin-top:210.2pt;height:235.3pt;width:108.7pt;z-index:251666432;v-text-anchor:middle;mso-width-relative:page;mso-height-relative:page;" filled="f" stroked="t" coordsize="21600,21600" o:gfxdata="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yfMFLYAAAADAEAAA8AAAAAAAAAAQAgAAAAIgAAAGRycy9kb3ducmV2LnhtbFBLAQIUABQAAAAI&#10;AIdO4kA2EhVR7QEAAMkDAAAOAAAAAAAAAAEAIAAAACcBAABkcnMvZTJvRG9jLnhtbFBLBQYAAAAA&#10;BgAGAFkBAACGBQ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2576" behindDoc="0" locked="0" layoutInCell="1" allowOverlap="1">
                <wp:simplePos x="0" y="0"/>
                <wp:positionH relativeFrom="column">
                  <wp:posOffset>2894330</wp:posOffset>
                </wp:positionH>
                <wp:positionV relativeFrom="paragraph">
                  <wp:posOffset>4352925</wp:posOffset>
                </wp:positionV>
                <wp:extent cx="765175" cy="1261110"/>
                <wp:effectExtent l="6350" t="6350" r="15875" b="15240"/>
                <wp:wrapNone/>
                <wp:docPr id="26" name="矩形 25"/>
                <wp:cNvGraphicFramePr/>
                <a:graphic xmlns:a="http://schemas.openxmlformats.org/drawingml/2006/main">
                  <a:graphicData uri="http://schemas.microsoft.com/office/word/2010/wordprocessingShape">
                    <wps:wsp>
                      <wps:cNvSpPr/>
                      <wps:spPr>
                        <a:xfrm>
                          <a:off x="0" y="0"/>
                          <a:ext cx="765175" cy="126111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25" o:spid="_x0000_s1026" o:spt="1" style="position:absolute;left:0pt;margin-left:227.9pt;margin-top:342.75pt;height:99.3pt;width:60.25pt;z-index:251672576;v-text-anchor:middle;mso-width-relative:page;mso-height-relative:page;" filled="f" stroked="t" coordsize="21600,21600" o:gfxdata="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N9VEp7XAAAACwEAAA8AAAAAAAAAAQAgAAAAIgAAAGRycy9kb3ducmV2LnhtbFBLAQIUABQAAAAI&#10;AIdO4kC1QbA17gEAAMgDAAAOAAAAAAAAAAEAIAAAACYBAABkcnMvZTJvRG9jLnhtbFBLBQYAAAAA&#10;BgAGAFkBAACGBQ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9504" behindDoc="0" locked="0" layoutInCell="1" allowOverlap="1">
                <wp:simplePos x="0" y="0"/>
                <wp:positionH relativeFrom="column">
                  <wp:posOffset>3003550</wp:posOffset>
                </wp:positionH>
                <wp:positionV relativeFrom="paragraph">
                  <wp:posOffset>2653665</wp:posOffset>
                </wp:positionV>
                <wp:extent cx="1976755" cy="1149985"/>
                <wp:effectExtent l="6350" t="6350" r="10795" b="12065"/>
                <wp:wrapNone/>
                <wp:docPr id="19" name="矩形 16"/>
                <wp:cNvGraphicFramePr/>
                <a:graphic xmlns:a="http://schemas.openxmlformats.org/drawingml/2006/main">
                  <a:graphicData uri="http://schemas.microsoft.com/office/word/2010/wordprocessingShape">
                    <wps:wsp>
                      <wps:cNvSpPr/>
                      <wps:spPr>
                        <a:xfrm>
                          <a:off x="0" y="0"/>
                          <a:ext cx="1976755" cy="114998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16" o:spid="_x0000_s1026" o:spt="1" style="position:absolute;left:0pt;margin-left:236.5pt;margin-top:208.95pt;height:90.55pt;width:155.65pt;z-index:251669504;v-text-anchor:middle;mso-width-relative:page;mso-height-relative:page;" filled="f" stroked="t" coordsize="21600,21600" o:gfxdata="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zGbD72QAAAAsBAAAPAAAAAAAAAAEAIAAAACIAAABkcnMvZG93bnJldi54bWxQSwECFAAU&#10;AAAACACHTuJAbxF5DvABAADJAwAADgAAAAAAAAABACAAAAAoAQAAZHJzL2Uyb0RvYy54bWxQSwUG&#10;AAAAAAYABgBZAQAAigU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1792" behindDoc="0" locked="0" layoutInCell="1" allowOverlap="1">
                <wp:simplePos x="0" y="0"/>
                <wp:positionH relativeFrom="column">
                  <wp:posOffset>2790190</wp:posOffset>
                </wp:positionH>
                <wp:positionV relativeFrom="paragraph">
                  <wp:posOffset>2578100</wp:posOffset>
                </wp:positionV>
                <wp:extent cx="946785" cy="3440430"/>
                <wp:effectExtent l="6350" t="6350" r="12065" b="7620"/>
                <wp:wrapNone/>
                <wp:docPr id="23" name="矩形 11"/>
                <wp:cNvGraphicFramePr/>
                <a:graphic xmlns:a="http://schemas.openxmlformats.org/drawingml/2006/main">
                  <a:graphicData uri="http://schemas.microsoft.com/office/word/2010/wordprocessingShape">
                    <wps:wsp>
                      <wps:cNvSpPr/>
                      <wps:spPr>
                        <a:xfrm>
                          <a:off x="0" y="0"/>
                          <a:ext cx="946785" cy="344043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11" o:spid="_x0000_s1026" o:spt="1" style="position:absolute;left:0pt;margin-left:219.7pt;margin-top:203pt;height:270.9pt;width:74.55pt;z-index:251681792;v-text-anchor:middle;mso-width-relative:page;mso-height-relative:page;" filled="f" stroked="t" coordsize="21600,21600" o:gfxdata="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raBCXYAAAACwEAAA8AAAAAAAAAAQAgAAAAIgAAAGRycy9kb3ducmV2LnhtbFBLAQIUABQA&#10;AAAIAIdO4kCWsLAF8AEAAMgDAAAOAAAAAAAAAAEAIAAAACcBAABkcnMvZTJvRG9jLnhtbFBLBQYA&#10;AAAABgAGAFkBAACJBQ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5648" behindDoc="0" locked="0" layoutInCell="1" allowOverlap="1">
                <wp:simplePos x="0" y="0"/>
                <wp:positionH relativeFrom="column">
                  <wp:posOffset>6378575</wp:posOffset>
                </wp:positionH>
                <wp:positionV relativeFrom="paragraph">
                  <wp:posOffset>1762125</wp:posOffset>
                </wp:positionV>
                <wp:extent cx="353060" cy="624205"/>
                <wp:effectExtent l="6350" t="6350" r="8890" b="17145"/>
                <wp:wrapNone/>
                <wp:docPr id="29" name="矩形 28"/>
                <wp:cNvGraphicFramePr/>
                <a:graphic xmlns:a="http://schemas.openxmlformats.org/drawingml/2006/main">
                  <a:graphicData uri="http://schemas.microsoft.com/office/word/2010/wordprocessingShape">
                    <wps:wsp>
                      <wps:cNvSpPr/>
                      <wps:spPr>
                        <a:xfrm flipH="1">
                          <a:off x="0" y="0"/>
                          <a:ext cx="353060" cy="62420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28" o:spid="_x0000_s1026" o:spt="1" style="position:absolute;left:0pt;flip:x;margin-left:502.25pt;margin-top:138.75pt;height:49.15pt;width:27.8pt;z-index:251675648;v-text-anchor:middle;mso-width-relative:page;mso-height-relative:page;" filled="f" stroked="t" coordsize="21600,21600" o:gfxdata="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8uKEHZAAAADQEAAA8AAAAAAAAAAQAgAAAAIgAAAGRycy9kb3ducmV2LnhtbFBL&#10;AQIUABQAAAAIAIdO4kBUmreE9QEAANEDAAAOAAAAAAAAAAEAIAAAACgBAABkcnMvZTJvRG9jLnht&#10;bFBLBQYAAAAABgAGAFkBAACPBQ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0768" behindDoc="0" locked="0" layoutInCell="1" allowOverlap="1">
                <wp:simplePos x="0" y="0"/>
                <wp:positionH relativeFrom="column">
                  <wp:posOffset>4355465</wp:posOffset>
                </wp:positionH>
                <wp:positionV relativeFrom="paragraph">
                  <wp:posOffset>1343660</wp:posOffset>
                </wp:positionV>
                <wp:extent cx="533400" cy="914400"/>
                <wp:effectExtent l="5715" t="3175" r="6985" b="9525"/>
                <wp:wrapNone/>
                <wp:docPr id="34" name="直接箭头连接符 33"/>
                <wp:cNvGraphicFramePr/>
                <a:graphic xmlns:a="http://schemas.openxmlformats.org/drawingml/2006/main">
                  <a:graphicData uri="http://schemas.microsoft.com/office/word/2010/wordprocessingShape">
                    <wps:wsp>
                      <wps:cNvCnPr/>
                      <wps:spPr>
                        <a:xfrm>
                          <a:off x="0" y="0"/>
                          <a:ext cx="533400" cy="9144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33" o:spid="_x0000_s1026" o:spt="32" type="#_x0000_t32" style="position:absolute;left:0pt;margin-left:342.95pt;margin-top:105.8pt;height:72pt;width:42pt;z-index:251680768;mso-width-relative:page;mso-height-relative:page;" filled="f" stroked="t" coordsize="21600,21600" o:gfxdata="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k+vCtgAAAALAQAADwAAAAAAAAABACAA&#10;AAAiAAAAZHJzL2Rvd25yZXYueG1sUEsBAhQAFAAAAAgAh07iQKR/oDkNAgAA5QMAAA4AAAAAAAAA&#10;AQAgAAAAJwEAAGRycy9lMm9Eb2MueG1sUEsFBgAAAAAGAAYAWQEAAKYFAA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7696" behindDoc="0" locked="0" layoutInCell="1" allowOverlap="1">
                <wp:simplePos x="0" y="0"/>
                <wp:positionH relativeFrom="column">
                  <wp:posOffset>3944620</wp:posOffset>
                </wp:positionH>
                <wp:positionV relativeFrom="paragraph">
                  <wp:posOffset>1872615</wp:posOffset>
                </wp:positionV>
                <wp:extent cx="2522855" cy="680720"/>
                <wp:effectExtent l="6350" t="6350" r="10795" b="11430"/>
                <wp:wrapNone/>
                <wp:docPr id="32" name="矩形 31"/>
                <wp:cNvGraphicFramePr/>
                <a:graphic xmlns:a="http://schemas.openxmlformats.org/drawingml/2006/main">
                  <a:graphicData uri="http://schemas.microsoft.com/office/word/2010/wordprocessingShape">
                    <wps:wsp>
                      <wps:cNvSpPr/>
                      <wps:spPr>
                        <a:xfrm flipH="1">
                          <a:off x="0" y="0"/>
                          <a:ext cx="2522855" cy="68072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31" o:spid="_x0000_s1026" o:spt="1" style="position:absolute;left:0pt;flip:x;margin-left:310.6pt;margin-top:147.45pt;height:53.6pt;width:198.65pt;z-index:251677696;v-text-anchor:middle;mso-width-relative:page;mso-height-relative:page;" filled="f" stroked="t" coordsize="21600,21600" o:gfxdata="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PgZySdkAAAAMAQAADwAAAAAAAAABACAAAAAiAAAAZHJzL2Rvd25yZXYueG1s&#10;UEsBAhQAFAAAAAgAh07iQLo0fnP3AQAA0gMAAA4AAAAAAAAAAQAgAAAAKAEAAGRycy9lMm9Eb2Mu&#10;eG1sUEsFBgAAAAAGAAYAWQEAAJEFA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94080" behindDoc="1" locked="0" layoutInCell="1" allowOverlap="1">
            <wp:simplePos x="0" y="0"/>
            <wp:positionH relativeFrom="column">
              <wp:posOffset>1537335</wp:posOffset>
            </wp:positionH>
            <wp:positionV relativeFrom="paragraph">
              <wp:posOffset>214630</wp:posOffset>
            </wp:positionV>
            <wp:extent cx="7030720" cy="5777865"/>
            <wp:effectExtent l="0" t="0" r="0" b="0"/>
            <wp:wrapNone/>
            <wp:docPr id="10" name="图片 10" descr="11e65eab90904c6cc3d6d53a9a91e6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1e65eab90904c6cc3d6d53a9a91e6ad"/>
                    <pic:cNvPicPr>
                      <a:picLocks noChangeAspect="1"/>
                    </pic:cNvPicPr>
                  </pic:nvPicPr>
                  <pic:blipFill>
                    <a:blip r:embed="rId18"/>
                    <a:srcRect l="15199" t="7367" r="6747" b="4669"/>
                    <a:stretch>
                      <a:fillRect/>
                    </a:stretch>
                  </pic:blipFill>
                  <pic:spPr>
                    <a:xfrm>
                      <a:off x="0" y="0"/>
                      <a:ext cx="7030720" cy="5777865"/>
                    </a:xfrm>
                    <a:prstGeom prst="rect">
                      <a:avLst/>
                    </a:prstGeom>
                  </pic:spPr>
                </pic:pic>
              </a:graphicData>
            </a:graphic>
          </wp:anchor>
        </w:drawing>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5408" behindDoc="0" locked="0" layoutInCell="1" allowOverlap="1">
                <wp:simplePos x="0" y="0"/>
                <wp:positionH relativeFrom="column">
                  <wp:posOffset>4436745</wp:posOffset>
                </wp:positionH>
                <wp:positionV relativeFrom="paragraph">
                  <wp:posOffset>4471035</wp:posOffset>
                </wp:positionV>
                <wp:extent cx="229870" cy="1294130"/>
                <wp:effectExtent l="34290" t="0" r="15240" b="1270"/>
                <wp:wrapNone/>
                <wp:docPr id="15" name="直接箭头连接符 6"/>
                <wp:cNvGraphicFramePr/>
                <a:graphic xmlns:a="http://schemas.openxmlformats.org/drawingml/2006/main">
                  <a:graphicData uri="http://schemas.microsoft.com/office/word/2010/wordprocessingShape">
                    <wps:wsp>
                      <wps:cNvCnPr/>
                      <wps:spPr>
                        <a:xfrm flipH="1" flipV="1">
                          <a:off x="0" y="0"/>
                          <a:ext cx="229870" cy="129413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6" o:spid="_x0000_s1026" o:spt="32" type="#_x0000_t32" style="position:absolute;left:0pt;flip:x y;margin-left:349.35pt;margin-top:352.05pt;height:101.9pt;width:18.1pt;z-index:251665408;mso-width-relative:page;mso-height-relative:page;" filled="f" stroked="t" coordsize="21600,21600" o:gfxdata="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kZN/i2gAAAAsB&#10;AAAPAAAAAAAAAAEAIAAAACIAAABkcnMvZG93bnJldi54bWxQSwECFAAUAAAACACHTuJAMBztSRkC&#10;AAD5AwAADgAAAAAAAAABACAAAAApAQAAZHJzL2Uyb0RvYy54bWxQSwUGAAAAAAYABgBZAQAAtAUA&#10;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5888" behindDoc="0" locked="0" layoutInCell="1" allowOverlap="1">
                <wp:simplePos x="0" y="0"/>
                <wp:positionH relativeFrom="column">
                  <wp:posOffset>4295140</wp:posOffset>
                </wp:positionH>
                <wp:positionV relativeFrom="paragraph">
                  <wp:posOffset>5482590</wp:posOffset>
                </wp:positionV>
                <wp:extent cx="2178050" cy="645160"/>
                <wp:effectExtent l="0" t="0" r="0" b="0"/>
                <wp:wrapNone/>
                <wp:docPr id="35" name="文本框 7"/>
                <wp:cNvGraphicFramePr/>
                <a:graphic xmlns:a="http://schemas.openxmlformats.org/drawingml/2006/main">
                  <a:graphicData uri="http://schemas.microsoft.com/office/word/2010/wordprocessingShape">
                    <wps:wsp>
                      <wps:cNvSpPr txBox="1"/>
                      <wps:spPr>
                        <a:xfrm>
                          <a:off x="0" y="0"/>
                          <a:ext cx="2178050" cy="645160"/>
                        </a:xfrm>
                        <a:prstGeom prst="rect">
                          <a:avLst/>
                        </a:prstGeom>
                        <a:noFill/>
                      </wps:spPr>
                      <wps:txbx>
                        <w:txbxContent>
                          <w:p w14:paraId="346D0116">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学习区：阅览、学习使用</w:t>
                            </w:r>
                          </w:p>
                        </w:txbxContent>
                      </wps:txbx>
                      <wps:bodyPr wrap="square" rtlCol="0" anchor="t">
                        <a:spAutoFit/>
                      </wps:bodyPr>
                    </wps:wsp>
                  </a:graphicData>
                </a:graphic>
              </wp:anchor>
            </w:drawing>
          </mc:Choice>
          <mc:Fallback>
            <w:pict>
              <v:shape id="文本框 7" o:spid="_x0000_s1026" o:spt="202" type="#_x0000_t202" style="position:absolute;left:0pt;margin-left:338.2pt;margin-top:431.7pt;height:50.8pt;width:171.5pt;z-index:251685888;mso-width-relative:page;mso-height-relative:page;" filled="f" stroked="f" coordsize="21600,21600" o:gfxdata="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oSLY22AAAAAwBAAAPAAAAAAAAAAEAIAAAACIAAABkcnMvZG93bnJldi54&#10;bWxQSwECFAAUAAAACACHTuJAYnBHIcEBAABpAwAADgAAAAAAAAABACAAAAAnAQAAZHJzL2Uyb0Rv&#10;Yy54bWxQSwUGAAAAAAYABgBZAQAAWgUAAAAA&#10;">
                <v:fill on="f" focussize="0,0"/>
                <v:stroke on="f"/>
                <v:imagedata o:title=""/>
                <o:lock v:ext="edit" aspectratio="f"/>
                <v:textbox style="mso-fit-shape-to-text:t;">
                  <w:txbxContent>
                    <w:p w14:paraId="346D0116">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学习区：阅览、学习使用</w:t>
                      </w: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8720" behindDoc="0" locked="0" layoutInCell="1" allowOverlap="1">
                <wp:simplePos x="0" y="0"/>
                <wp:positionH relativeFrom="column">
                  <wp:posOffset>1499235</wp:posOffset>
                </wp:positionH>
                <wp:positionV relativeFrom="paragraph">
                  <wp:posOffset>548005</wp:posOffset>
                </wp:positionV>
                <wp:extent cx="4871720" cy="1238250"/>
                <wp:effectExtent l="0" t="0" r="0" b="0"/>
                <wp:wrapNone/>
                <wp:docPr id="33" name="文本框 32"/>
                <wp:cNvGraphicFramePr/>
                <a:graphic xmlns:a="http://schemas.openxmlformats.org/drawingml/2006/main">
                  <a:graphicData uri="http://schemas.microsoft.com/office/word/2010/wordprocessingShape">
                    <wps:wsp>
                      <wps:cNvSpPr txBox="1"/>
                      <wps:spPr>
                        <a:xfrm>
                          <a:off x="0" y="0"/>
                          <a:ext cx="4871720" cy="1238250"/>
                        </a:xfrm>
                        <a:prstGeom prst="rect">
                          <a:avLst/>
                        </a:prstGeom>
                        <a:noFill/>
                      </wps:spPr>
                      <wps:txbx>
                        <w:txbxContent>
                          <w:p w14:paraId="767817C8">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护栏为钢板嵌入式设计，增强护栏的承重能力和抗冲击能力,兼顾隐私保护，为学生提供更安全、舒适的生活环境。</w:t>
                            </w:r>
                          </w:p>
                        </w:txbxContent>
                      </wps:txbx>
                      <wps:bodyPr wrap="square" rtlCol="0">
                        <a:noAutofit/>
                      </wps:bodyPr>
                    </wps:wsp>
                  </a:graphicData>
                </a:graphic>
              </wp:anchor>
            </w:drawing>
          </mc:Choice>
          <mc:Fallback>
            <w:pict>
              <v:shape id="文本框 32" o:spid="_x0000_s1026" o:spt="202" type="#_x0000_t202" style="position:absolute;left:0pt;margin-left:118.05pt;margin-top:43.15pt;height:97.5pt;width:383.6pt;z-index:251678720;mso-width-relative:page;mso-height-relative:page;" filled="f" stroked="f" coordsize="21600,21600" o:gfxdata="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BURCX1wAAAAsBAAAPAAAAAAAAAAEAIAAAACIAAABkcnMvZG93bnJldi54bWxQSwEC&#10;FAAUAAAACACHTuJANCPomLwBAABgAwAADgAAAAAAAAABACAAAAAmAQAAZHJzL2Uyb0RvYy54bWxQ&#10;SwUGAAAAAAYABgBZAQAAVAUAAAAA&#10;">
                <v:fill on="f" focussize="0,0"/>
                <v:stroke on="f"/>
                <v:imagedata o:title=""/>
                <o:lock v:ext="edit" aspectratio="f"/>
                <v:textbox>
                  <w:txbxContent>
                    <w:p w14:paraId="767817C8">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护栏为钢板嵌入式设计，增强护栏的承重能力和抗冲击能力,兼顾隐私保护，为学生提供更安全、舒适的生活环境。</w:t>
                      </w: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4384" behindDoc="0" locked="0" layoutInCell="1" allowOverlap="1">
                <wp:simplePos x="0" y="0"/>
                <wp:positionH relativeFrom="column">
                  <wp:posOffset>3723005</wp:posOffset>
                </wp:positionH>
                <wp:positionV relativeFrom="paragraph">
                  <wp:posOffset>3515995</wp:posOffset>
                </wp:positionV>
                <wp:extent cx="1295400" cy="1307465"/>
                <wp:effectExtent l="6350" t="6350" r="6350" b="6985"/>
                <wp:wrapNone/>
                <wp:docPr id="14" name="矩形 2"/>
                <wp:cNvGraphicFramePr/>
                <a:graphic xmlns:a="http://schemas.openxmlformats.org/drawingml/2006/main">
                  <a:graphicData uri="http://schemas.microsoft.com/office/word/2010/wordprocessingShape">
                    <wps:wsp>
                      <wps:cNvSpPr/>
                      <wps:spPr>
                        <a:xfrm>
                          <a:off x="0" y="0"/>
                          <a:ext cx="1295400" cy="130746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a:graphicData>
                </a:graphic>
              </wp:anchor>
            </w:drawing>
          </mc:Choice>
          <mc:Fallback>
            <w:pict>
              <v:rect id="矩形 2" o:spid="_x0000_s1026" o:spt="1" style="position:absolute;left:0pt;margin-left:293.15pt;margin-top:276.85pt;height:102.95pt;width:102pt;z-index:251664384;v-text-anchor:middle;mso-width-relative:page;mso-height-relative:page;" filled="f" stroked="t" coordsize="21600,21600" o:gfxdata="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CG+ffYAAAACwEAAA8AAAAAAAAAAQAgAAAAIgAAAGRycy9kb3ducmV2LnhtbFBLAQIUABQAAAAI&#10;AIdO4kB4vPGm7QEAAMgDAAAOAAAAAAAAAAEAIAAAACcBAABkcnMvZTJvRG9jLnhtbFBLBQYAAAAA&#10;BgAGAFkBAACGBQAAAAA=&#10;">
                <v:fill on="f" focussize="0,0"/>
                <v:stroke weight="1pt" color="#FF0000 [2404]" miterlimit="8" joinstyle="miter"/>
                <v:imagedata o:title=""/>
                <o:lock v:ext="edit" aspectratio="f"/>
              </v:rect>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6672" behindDoc="0" locked="0" layoutInCell="1" allowOverlap="1">
                <wp:simplePos x="0" y="0"/>
                <wp:positionH relativeFrom="column">
                  <wp:posOffset>7107555</wp:posOffset>
                </wp:positionH>
                <wp:positionV relativeFrom="paragraph">
                  <wp:posOffset>555625</wp:posOffset>
                </wp:positionV>
                <wp:extent cx="2987040" cy="866775"/>
                <wp:effectExtent l="0" t="0" r="0" b="0"/>
                <wp:wrapNone/>
                <wp:docPr id="30" name="文本框 29"/>
                <wp:cNvGraphicFramePr/>
                <a:graphic xmlns:a="http://schemas.openxmlformats.org/drawingml/2006/main">
                  <a:graphicData uri="http://schemas.microsoft.com/office/word/2010/wordprocessingShape">
                    <wps:wsp>
                      <wps:cNvSpPr txBox="1"/>
                      <wps:spPr>
                        <a:xfrm>
                          <a:off x="0" y="0"/>
                          <a:ext cx="2987040" cy="866775"/>
                        </a:xfrm>
                        <a:prstGeom prst="rect">
                          <a:avLst/>
                        </a:prstGeom>
                        <a:noFill/>
                      </wps:spPr>
                      <wps:txbx>
                        <w:txbxContent>
                          <w:p w14:paraId="7F58CD08">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挡头设有一个储物槽，可存放书籍、或IPAD等较大物品</w:t>
                            </w:r>
                          </w:p>
                        </w:txbxContent>
                      </wps:txbx>
                      <wps:bodyPr wrap="square" rtlCol="0">
                        <a:noAutofit/>
                      </wps:bodyPr>
                    </wps:wsp>
                  </a:graphicData>
                </a:graphic>
              </wp:anchor>
            </w:drawing>
          </mc:Choice>
          <mc:Fallback>
            <w:pict>
              <v:shape id="文本框 29" o:spid="_x0000_s1026" o:spt="202" type="#_x0000_t202" style="position:absolute;left:0pt;margin-left:559.65pt;margin-top:43.75pt;height:68.25pt;width:235.2pt;z-index:251676672;mso-width-relative:page;mso-height-relative:page;" filled="f" stroked="f" coordsize="21600,21600" o:gfxdata="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dqtEm9kAAAAMAQAADwAAAAAAAAABACAAAAAiAAAAZHJzL2Rvd25yZXYueG1sUEsB&#10;AhQAFAAAAAgAh07iQD7nU+G7AQAAXwMAAA4AAAAAAAAAAQAgAAAAKAEAAGRycy9lMm9Eb2MueG1s&#10;UEsFBgAAAAAGAAYAWQEAAFUFAAAAAA==&#10;">
                <v:fill on="f" focussize="0,0"/>
                <v:stroke on="f"/>
                <v:imagedata o:title=""/>
                <o:lock v:ext="edit" aspectratio="f"/>
                <v:textbox>
                  <w:txbxContent>
                    <w:p w14:paraId="7F58CD08">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挡头设有一个储物槽，可存放书籍、或IPAD等较大物品</w:t>
                      </w: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3360" behindDoc="0" locked="0" layoutInCell="1" allowOverlap="1">
                <wp:simplePos x="0" y="0"/>
                <wp:positionH relativeFrom="column">
                  <wp:posOffset>-262890</wp:posOffset>
                </wp:positionH>
                <wp:positionV relativeFrom="paragraph">
                  <wp:posOffset>370205</wp:posOffset>
                </wp:positionV>
                <wp:extent cx="10420350" cy="0"/>
                <wp:effectExtent l="0" t="15875" r="6350" b="22225"/>
                <wp:wrapNone/>
                <wp:docPr id="13" name="直接连接符 4"/>
                <wp:cNvGraphicFramePr/>
                <a:graphic xmlns:a="http://schemas.openxmlformats.org/drawingml/2006/main">
                  <a:graphicData uri="http://schemas.microsoft.com/office/word/2010/wordprocessingShape">
                    <wps:wsp>
                      <wps:cNvCnPr/>
                      <wps:spPr>
                        <a:xfrm flipH="1">
                          <a:off x="0" y="0"/>
                          <a:ext cx="10420350" cy="0"/>
                        </a:xfrm>
                        <a:prstGeom prst="line">
                          <a:avLst/>
                        </a:prstGeom>
                        <a:ln w="31750">
                          <a:gradFill>
                            <a:gsLst>
                              <a:gs pos="0">
                                <a:schemeClr val="accent1">
                                  <a:hueOff val="0"/>
                                </a:schemeClr>
                              </a:gs>
                              <a:gs pos="100000">
                                <a:schemeClr val="accent1"/>
                              </a:gs>
                            </a:gsLst>
                          </a:gradFill>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id="直接连接符 4" o:spid="_x0000_s1026" o:spt="20" style="position:absolute;left:0pt;flip:x;margin-left:-20.7pt;margin-top:29.15pt;height:0pt;width:820.5pt;z-index:251663360;mso-width-relative:page;mso-height-relative:page;" filled="f" stroked="t" coordsize="21600,21600" o:gfxdata="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s7DZv2QAAAAoBAAAPAAAAAAAAAAEAIAAAACIAAABkcnMvZG93bnJldi54bWxQSwECFAAU&#10;AAAACACHTuJAh+0DAPABAADkAwAADgAAAAAAAAABACAAAAAoAQAAZHJzL2Uyb0RvYy54bWxQSwUG&#10;AAAAAAYABgBZAQAAigUAAAAA&#10;">
                <v:fill on="f" focussize="0,0"/>
                <v:stroke weight="2.5pt" color="#000000" joinstyle="round"/>
                <v:imagedata o:title=""/>
                <o:lock v:ext="edit" aspectratio="f"/>
              </v:lin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2336" behindDoc="0" locked="0" layoutInCell="1" allowOverlap="1">
                <wp:simplePos x="0" y="0"/>
                <wp:positionH relativeFrom="column">
                  <wp:posOffset>41275</wp:posOffset>
                </wp:positionH>
                <wp:positionV relativeFrom="paragraph">
                  <wp:posOffset>-351790</wp:posOffset>
                </wp:positionV>
                <wp:extent cx="8891270" cy="953135"/>
                <wp:effectExtent l="0" t="0" r="0" b="0"/>
                <wp:wrapNone/>
                <wp:docPr id="12" name="文本框 3"/>
                <wp:cNvGraphicFramePr/>
                <a:graphic xmlns:a="http://schemas.openxmlformats.org/drawingml/2006/main">
                  <a:graphicData uri="http://schemas.microsoft.com/office/word/2010/wordprocessingShape">
                    <wps:wsp>
                      <wps:cNvSpPr txBox="1"/>
                      <wps:spPr>
                        <a:xfrm>
                          <a:off x="0" y="0"/>
                          <a:ext cx="8891270" cy="953135"/>
                        </a:xfrm>
                        <a:prstGeom prst="rect">
                          <a:avLst/>
                        </a:prstGeom>
                        <a:noFill/>
                        <a:ln w="15875" cap="sq" cmpd="sng">
                          <a:noFill/>
                          <a:prstDash val="solid"/>
                        </a:ln>
                        <a:effectLst>
                          <a:softEdge rad="12700"/>
                        </a:effectLst>
                      </wps:spPr>
                      <wps:txbx>
                        <w:txbxContent>
                          <w:p w14:paraId="61FFF233">
                            <w:pPr>
                              <w:spacing w:line="480" w:lineRule="auto"/>
                              <w:ind w:firstLine="560"/>
                              <w:jc w:val="left"/>
                              <w:rPr>
                                <w:rFonts w:hint="eastAsia" w:asciiTheme="minorEastAsia" w:hAnsiTheme="minorEastAsia" w:cstheme="minorEastAsia"/>
                                <w:b/>
                                <w:bCs/>
                                <w:color w:val="0D0D0D"/>
                                <w:kern w:val="0"/>
                                <w:sz w:val="30"/>
                                <w:szCs w:val="30"/>
                                <w:shd w:val="clear" w:color="auto" w:fill="FFFFFF"/>
                                <w:lang w:bidi="ar"/>
                              </w:rPr>
                            </w:pPr>
                            <w:r>
                              <w:rPr>
                                <w:rFonts w:hint="eastAsia" w:asciiTheme="minorEastAsia" w:hAnsiTheme="minorEastAsia" w:cstheme="minorEastAsia"/>
                                <w:b/>
                                <w:bCs/>
                                <w:color w:val="0D0D0D"/>
                                <w:kern w:val="0"/>
                                <w:sz w:val="30"/>
                                <w:szCs w:val="30"/>
                                <w:shd w:val="clear" w:color="auto" w:fill="FFFFFF"/>
                                <w:lang w:bidi="ar"/>
                              </w:rPr>
                              <w:t>3.六人间宿舍家具配置--单人高架-侧梯组合式公寓床</w:t>
                            </w:r>
                          </w:p>
                          <w:p w14:paraId="5B8C643C">
                            <w:pPr>
                              <w:pStyle w:val="11"/>
                              <w:rPr>
                                <w:rFonts w:hint="eastAsia"/>
                                <w:sz w:val="21"/>
                                <w:szCs w:val="21"/>
                              </w:rPr>
                            </w:pPr>
                          </w:p>
                        </w:txbxContent>
                      </wps:txbx>
                      <wps:bodyPr wrap="square" rtlCol="0">
                        <a:spAutoFit/>
                      </wps:bodyPr>
                    </wps:wsp>
                  </a:graphicData>
                </a:graphic>
              </wp:anchor>
            </w:drawing>
          </mc:Choice>
          <mc:Fallback>
            <w:pict>
              <v:shape id="文本框 3" o:spid="_x0000_s1026" o:spt="202" type="#_x0000_t202" style="position:absolute;left:0pt;margin-left:3.25pt;margin-top:-27.7pt;height:75.05pt;width:700.1pt;z-index:251662336;mso-width-relative:page;mso-height-relative:page;" filled="f" stroked="f" coordsize="21600,21600" o:gfxdata="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DTiMNgAAAAJAQAADwAAAAAAAAABACAAAAAiAAAAZHJzL2Rvd25yZXYu&#10;eG1sUEsBAhQAFAAAAAgAh07iQK4cgpf7AQAA4QMAAA4AAAAAAAAAAQAgAAAAJwEAAGRycy9lMm9E&#10;b2MueG1sUEsFBgAAAAAGAAYAWQEAAJQFAAAAAA==&#10;">
                <v:fill on="f" focussize="0,0"/>
                <v:stroke on="f" weight="1.25pt" endcap="square"/>
                <v:imagedata o:title=""/>
                <o:lock v:ext="edit" aspectratio="f"/>
                <v:textbox style="mso-fit-shape-to-text:t;">
                  <w:txbxContent>
                    <w:p w14:paraId="61FFF233">
                      <w:pPr>
                        <w:spacing w:line="480" w:lineRule="auto"/>
                        <w:ind w:firstLine="560"/>
                        <w:jc w:val="left"/>
                        <w:rPr>
                          <w:rFonts w:hint="eastAsia" w:asciiTheme="minorEastAsia" w:hAnsiTheme="minorEastAsia" w:cstheme="minorEastAsia"/>
                          <w:b/>
                          <w:bCs/>
                          <w:color w:val="0D0D0D"/>
                          <w:kern w:val="0"/>
                          <w:sz w:val="30"/>
                          <w:szCs w:val="30"/>
                          <w:shd w:val="clear" w:color="auto" w:fill="FFFFFF"/>
                          <w:lang w:bidi="ar"/>
                        </w:rPr>
                      </w:pPr>
                      <w:r>
                        <w:rPr>
                          <w:rFonts w:hint="eastAsia" w:asciiTheme="minorEastAsia" w:hAnsiTheme="minorEastAsia" w:cstheme="minorEastAsia"/>
                          <w:b/>
                          <w:bCs/>
                          <w:color w:val="0D0D0D"/>
                          <w:kern w:val="0"/>
                          <w:sz w:val="30"/>
                          <w:szCs w:val="30"/>
                          <w:shd w:val="clear" w:color="auto" w:fill="FFFFFF"/>
                          <w:lang w:bidi="ar"/>
                        </w:rPr>
                        <w:t>3.六人间宿舍家具配置--单人高架-侧梯组合式公寓床</w:t>
                      </w:r>
                    </w:p>
                    <w:p w14:paraId="5B8C643C">
                      <w:pPr>
                        <w:pStyle w:val="11"/>
                        <w:rPr>
                          <w:rFonts w:hint="eastAsia"/>
                          <w:sz w:val="21"/>
                          <w:szCs w:val="21"/>
                        </w:rPr>
                      </w:pP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67456" behindDoc="0" locked="0" layoutInCell="1" allowOverlap="1">
                <wp:simplePos x="0" y="0"/>
                <wp:positionH relativeFrom="column">
                  <wp:posOffset>6383655</wp:posOffset>
                </wp:positionH>
                <wp:positionV relativeFrom="paragraph">
                  <wp:posOffset>5009515</wp:posOffset>
                </wp:positionV>
                <wp:extent cx="884555" cy="307340"/>
                <wp:effectExtent l="0" t="19050" r="4445" b="16510"/>
                <wp:wrapNone/>
                <wp:docPr id="17" name="直接箭头连接符 14"/>
                <wp:cNvGraphicFramePr/>
                <a:graphic xmlns:a="http://schemas.openxmlformats.org/drawingml/2006/main">
                  <a:graphicData uri="http://schemas.microsoft.com/office/word/2010/wordprocessingShape">
                    <wps:wsp>
                      <wps:cNvCnPr/>
                      <wps:spPr>
                        <a:xfrm flipH="1" flipV="1">
                          <a:off x="0" y="0"/>
                          <a:ext cx="884555" cy="30734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14" o:spid="_x0000_s1026" o:spt="32" type="#_x0000_t32" style="position:absolute;left:0pt;flip:x y;margin-left:502.65pt;margin-top:394.45pt;height:24.2pt;width:69.65pt;z-index:251667456;mso-width-relative:page;mso-height-relative:page;" filled="f" stroked="t" coordsize="21600,21600" o:gfxdata="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1Oh5n3AAA&#10;AA0BAAAPAAAAAAAAAAEAIAAAACIAAABkcnMvZG93bnJldi54bWxQSwECFAAUAAAACACHTuJAH9jH&#10;xhoCAAD5AwAADgAAAAAAAAABACAAAAArAQAAZHJzL2Uyb0RvYy54bWxQSwUGAAAAAAYABgBZAQAA&#10;twUA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0528" behindDoc="0" locked="0" layoutInCell="1" allowOverlap="1">
                <wp:simplePos x="0" y="0"/>
                <wp:positionH relativeFrom="column">
                  <wp:posOffset>1310640</wp:posOffset>
                </wp:positionH>
                <wp:positionV relativeFrom="paragraph">
                  <wp:posOffset>2057400</wp:posOffset>
                </wp:positionV>
                <wp:extent cx="1815465" cy="1524000"/>
                <wp:effectExtent l="3810" t="5080" r="9525" b="7620"/>
                <wp:wrapNone/>
                <wp:docPr id="20" name="直接箭头连接符 17"/>
                <wp:cNvGraphicFramePr/>
                <a:graphic xmlns:a="http://schemas.openxmlformats.org/drawingml/2006/main">
                  <a:graphicData uri="http://schemas.microsoft.com/office/word/2010/wordprocessingShape">
                    <wps:wsp>
                      <wps:cNvCnPr/>
                      <wps:spPr>
                        <a:xfrm>
                          <a:off x="0" y="0"/>
                          <a:ext cx="1815465" cy="15240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17" o:spid="_x0000_s1026" o:spt="32" type="#_x0000_t32" style="position:absolute;left:0pt;margin-left:103.2pt;margin-top:162pt;height:120pt;width:142.95pt;z-index:251670528;mso-width-relative:page;mso-height-relative:page;" filled="f" stroked="t" coordsize="21600,21600" o:gfxdata="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aNBLDYAAAACwEAAA8AAAAAAAAA&#10;AQAgAAAAIgAAAGRycy9kb3ducmV2LnhtbFBLAQIUABQAAAAIAIdO4kDsmBMpEQIAAOcDAAAOAAAA&#10;AAAAAAEAIAAAACcBAABkcnMvZTJvRG9jLnhtbFBLBQYAAAAABgAGAFkBAACqBQA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1552" behindDoc="0" locked="0" layoutInCell="1" allowOverlap="1">
                <wp:simplePos x="0" y="0"/>
                <wp:positionH relativeFrom="column">
                  <wp:posOffset>0</wp:posOffset>
                </wp:positionH>
                <wp:positionV relativeFrom="paragraph">
                  <wp:posOffset>1447800</wp:posOffset>
                </wp:positionV>
                <wp:extent cx="1602105" cy="922020"/>
                <wp:effectExtent l="0" t="0" r="0" b="0"/>
                <wp:wrapNone/>
                <wp:docPr id="21" name="文本框 18"/>
                <wp:cNvGraphicFramePr/>
                <a:graphic xmlns:a="http://schemas.openxmlformats.org/drawingml/2006/main">
                  <a:graphicData uri="http://schemas.microsoft.com/office/word/2010/wordprocessingShape">
                    <wps:wsp>
                      <wps:cNvSpPr txBox="1"/>
                      <wps:spPr>
                        <a:xfrm>
                          <a:off x="0" y="0"/>
                          <a:ext cx="1602105" cy="922020"/>
                        </a:xfrm>
                        <a:prstGeom prst="rect">
                          <a:avLst/>
                        </a:prstGeom>
                        <a:noFill/>
                      </wps:spPr>
                      <wps:txbx>
                        <w:txbxContent>
                          <w:p w14:paraId="1B8AB1BE">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造型书架可存放书籍或装饰绿植等</w:t>
                            </w:r>
                          </w:p>
                        </w:txbxContent>
                      </wps:txbx>
                      <wps:bodyPr wrap="square" rtlCol="0" anchor="t">
                        <a:spAutoFit/>
                      </wps:bodyPr>
                    </wps:wsp>
                  </a:graphicData>
                </a:graphic>
              </wp:anchor>
            </w:drawing>
          </mc:Choice>
          <mc:Fallback>
            <w:pict>
              <v:shape id="文本框 18" o:spid="_x0000_s1026" o:spt="202" type="#_x0000_t202" style="position:absolute;left:0pt;margin-left:0pt;margin-top:114pt;height:72.6pt;width:126.15pt;z-index:251671552;mso-width-relative:page;mso-height-relative:page;" filled="f" stroked="f" coordsize="21600,21600" o:gfxdata="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muReo1gAAAAgBAAAPAAAAAAAAAAEAIAAAACIAAABkcnMvZG93bnJldi54bWxQ&#10;SwECFAAUAAAACACHTuJASEV8zMABAABqAwAADgAAAAAAAAABACAAAAAlAQAAZHJzL2Uyb0RvYy54&#10;bWxQSwUGAAAAAAYABgBZAQAAVwUAAAAA&#10;">
                <v:fill on="f" focussize="0,0"/>
                <v:stroke on="f"/>
                <v:imagedata o:title=""/>
                <o:lock v:ext="edit" aspectratio="f"/>
                <v:textbox style="mso-fit-shape-to-text:t;">
                  <w:txbxContent>
                    <w:p w14:paraId="1B8AB1BE">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造型书架可存放书籍或装饰绿植等</w:t>
                      </w:r>
                    </w:p>
                  </w:txbxContent>
                </v:textbox>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4624" behindDoc="0" locked="0" layoutInCell="1" allowOverlap="1">
                <wp:simplePos x="0" y="0"/>
                <wp:positionH relativeFrom="column">
                  <wp:posOffset>1906905</wp:posOffset>
                </wp:positionH>
                <wp:positionV relativeFrom="paragraph">
                  <wp:posOffset>4572000</wp:posOffset>
                </wp:positionV>
                <wp:extent cx="836930" cy="249555"/>
                <wp:effectExtent l="1905" t="6350" r="12065" b="23495"/>
                <wp:wrapNone/>
                <wp:docPr id="22" name="直接箭头连接符 8"/>
                <wp:cNvGraphicFramePr/>
                <a:graphic xmlns:a="http://schemas.openxmlformats.org/drawingml/2006/main">
                  <a:graphicData uri="http://schemas.microsoft.com/office/word/2010/wordprocessingShape">
                    <wps:wsp>
                      <wps:cNvCnPr/>
                      <wps:spPr>
                        <a:xfrm>
                          <a:off x="0" y="0"/>
                          <a:ext cx="836930" cy="24955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8" o:spid="_x0000_s1026" o:spt="32" type="#_x0000_t32" style="position:absolute;left:0pt;margin-left:150.15pt;margin-top:360pt;height:19.65pt;width:65.9pt;z-index:251674624;mso-width-relative:page;mso-height-relative:page;" filled="f" stroked="t" coordsize="21600,21600" o:gfxdata="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gySv9cAAAALAQAADwAAAAAAAAABACAA&#10;AAAiAAAAZHJzL2Rvd25yZXYueG1sUEsBAhQAFAAAAAgAh07iQMbO8PYOAgAA5AMAAA4AAAAAAAAA&#10;AQAgAAAAJgEAAGRycy9lMm9Eb2MueG1sUEsFBgAAAAAGAAYAWQEAAKYFAA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79744" behindDoc="0" locked="0" layoutInCell="1" allowOverlap="1">
                <wp:simplePos x="0" y="0"/>
                <wp:positionH relativeFrom="column">
                  <wp:posOffset>6751955</wp:posOffset>
                </wp:positionH>
                <wp:positionV relativeFrom="paragraph">
                  <wp:posOffset>1219200</wp:posOffset>
                </wp:positionV>
                <wp:extent cx="1098550" cy="799465"/>
                <wp:effectExtent l="0" t="5080" r="6350" b="8255"/>
                <wp:wrapNone/>
                <wp:docPr id="27" name="直接箭头连接符 26"/>
                <wp:cNvGraphicFramePr/>
                <a:graphic xmlns:a="http://schemas.openxmlformats.org/drawingml/2006/main">
                  <a:graphicData uri="http://schemas.microsoft.com/office/word/2010/wordprocessingShape">
                    <wps:wsp>
                      <wps:cNvCnPr/>
                      <wps:spPr>
                        <a:xfrm flipH="1">
                          <a:off x="0" y="0"/>
                          <a:ext cx="1098550" cy="79946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26" o:spid="_x0000_s1026" o:spt="32" type="#_x0000_t32" style="position:absolute;left:0pt;flip:x;margin-left:531.65pt;margin-top:96pt;height:62.95pt;width:86.5pt;z-index:251679744;mso-width-relative:page;mso-height-relative:page;" filled="f" stroked="t" coordsize="21600,21600" o:gfxdata="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MthifZAAAADQEAAA8A&#10;AAAAAAAAAQAgAAAAIgAAAGRycy9kb3ducmV2LnhtbFBLAQIUABQAAAAIAIdO4kCPQAQuFgIAAPAD&#10;AAAOAAAAAAAAAAEAIAAAACgBAABkcnMvZTJvRG9jLnhtbFBLBQYAAAAABgAGAFkBAACwBQA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2816" behindDoc="0" locked="0" layoutInCell="1" allowOverlap="1">
                <wp:simplePos x="0" y="0"/>
                <wp:positionH relativeFrom="column">
                  <wp:posOffset>1754505</wp:posOffset>
                </wp:positionH>
                <wp:positionV relativeFrom="paragraph">
                  <wp:posOffset>5451475</wp:posOffset>
                </wp:positionV>
                <wp:extent cx="1080770" cy="492125"/>
                <wp:effectExtent l="2540" t="10160" r="8890" b="5715"/>
                <wp:wrapNone/>
                <wp:docPr id="24" name="直接箭头连接符 21"/>
                <wp:cNvGraphicFramePr/>
                <a:graphic xmlns:a="http://schemas.openxmlformats.org/drawingml/2006/main">
                  <a:graphicData uri="http://schemas.microsoft.com/office/word/2010/wordprocessingShape">
                    <wps:wsp>
                      <wps:cNvCnPr/>
                      <wps:spPr>
                        <a:xfrm flipV="1">
                          <a:off x="0" y="0"/>
                          <a:ext cx="1080770" cy="49212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直接箭头连接符 21" o:spid="_x0000_s1026" o:spt="32" type="#_x0000_t32" style="position:absolute;left:0pt;flip:y;margin-left:138.15pt;margin-top:429.25pt;height:38.75pt;width:85.1pt;z-index:251682816;mso-width-relative:page;mso-height-relative:page;" filled="f" stroked="t" coordsize="21600,21600" o:gfxdata="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Ssk1dNkAAAALAQAADwAA&#10;AAAAAAABACAAAAAiAAAAZHJzL2Rvd25yZXYueG1sUEsBAhQAFAAAAAgAh07iQMgYXq4VAgAA8AMA&#10;AA4AAAAAAAAAAQAgAAAAKAEAAGRycy9lMm9Eb2MueG1sUEsFBgAAAAAGAAYAWQEAAK8FAAAAAA==&#10;">
                <v:fill on="f" focussize="0,0"/>
                <v:stroke weight="1pt" color="#4874CB [3204]" miterlimit="8" joinstyle="miter" endarrow="open"/>
                <v:imagedata o:title=""/>
                <o:lock v:ext="edit" aspectratio="f"/>
              </v:shape>
            </w:pict>
          </mc:Fallback>
        </mc:AlternateContent>
      </w:r>
      <w:r>
        <w:rPr>
          <w:rFonts w:hint="eastAsia" w:asciiTheme="minorEastAsia" w:hAnsiTheme="minorEastAsia" w:eastAsiaTheme="minorEastAsia" w:cstheme="minorEastAsia"/>
          <w:color w:val="auto"/>
          <w:sz w:val="24"/>
          <w:szCs w:val="24"/>
          <w:highlight w:val="none"/>
        </w:rPr>
        <mc:AlternateContent>
          <mc:Choice Requires="wps">
            <w:drawing>
              <wp:anchor distT="0" distB="0" distL="114300" distR="114300" simplePos="0" relativeHeight="251683840" behindDoc="0" locked="0" layoutInCell="1" allowOverlap="1">
                <wp:simplePos x="0" y="0"/>
                <wp:positionH relativeFrom="column">
                  <wp:posOffset>0</wp:posOffset>
                </wp:positionH>
                <wp:positionV relativeFrom="paragraph">
                  <wp:posOffset>4038600</wp:posOffset>
                </wp:positionV>
                <wp:extent cx="1918335" cy="769620"/>
                <wp:effectExtent l="0" t="0" r="0" b="0"/>
                <wp:wrapNone/>
                <wp:docPr id="25" name="文本框 22"/>
                <wp:cNvGraphicFramePr/>
                <a:graphic xmlns:a="http://schemas.openxmlformats.org/drawingml/2006/main">
                  <a:graphicData uri="http://schemas.microsoft.com/office/word/2010/wordprocessingShape">
                    <wps:wsp>
                      <wps:cNvSpPr txBox="1"/>
                      <wps:spPr>
                        <a:xfrm>
                          <a:off x="0" y="0"/>
                          <a:ext cx="1918335" cy="769620"/>
                        </a:xfrm>
                        <a:prstGeom prst="rect">
                          <a:avLst/>
                        </a:prstGeom>
                        <a:noFill/>
                      </wps:spPr>
                      <wps:txbx>
                        <w:txbxContent>
                          <w:p w14:paraId="3FE13904">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设计带防滑荧光踏板，贴心守护学生安全</w:t>
                            </w:r>
                          </w:p>
                        </w:txbxContent>
                      </wps:txbx>
                      <wps:bodyPr wrap="square" rtlCol="0" anchor="t">
                        <a:noAutofit/>
                      </wps:bodyPr>
                    </wps:wsp>
                  </a:graphicData>
                </a:graphic>
              </wp:anchor>
            </w:drawing>
          </mc:Choice>
          <mc:Fallback>
            <w:pict>
              <v:shape id="文本框 22" o:spid="_x0000_s1026" o:spt="202" type="#_x0000_t202" style="position:absolute;left:0pt;margin-left:0pt;margin-top:318pt;height:60.6pt;width:151.05pt;z-index:251683840;mso-width-relative:page;mso-height-relative:page;" filled="f" stroked="f" coordsize="21600,21600" o:gfxdata="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CDIzY7WAAAACAEAAA8AAAAAAAAAAQAgAAAAIgAAAGRycy9kb3ducmV2Lnht&#10;bFBLAQIUABQAAAAIAIdO4kDDxpsZwgEAAGoDAAAOAAAAAAAAAAEAIAAAACUBAABkcnMvZTJvRG9j&#10;LnhtbFBLBQYAAAAABgAGAFkBAABZBQAAAAA=&#10;">
                <v:fill on="f" focussize="0,0"/>
                <v:stroke on="f"/>
                <v:imagedata o:title=""/>
                <o:lock v:ext="edit" aspectratio="f"/>
                <v:textbox>
                  <w:txbxContent>
                    <w:p w14:paraId="3FE13904">
                      <w:pPr>
                        <w:pStyle w:val="11"/>
                        <w:rPr>
                          <w:rFonts w:hint="eastAsia"/>
                          <w:sz w:val="21"/>
                          <w:szCs w:val="21"/>
                        </w:rPr>
                      </w:pPr>
                      <w:r>
                        <w:rPr>
                          <w:rFonts w:asciiTheme="minorHAnsi" w:hAnsiTheme="minorBidi" w:eastAsiaTheme="minorEastAsia"/>
                          <w:b/>
                          <w:color w:val="000000" w:themeColor="text1"/>
                          <w:kern w:val="24"/>
                          <w:sz w:val="28"/>
                          <w:szCs w:val="28"/>
                          <w14:textFill>
                            <w14:solidFill>
                              <w14:schemeClr w14:val="tx1"/>
                            </w14:solidFill>
                          </w14:textFill>
                        </w:rPr>
                        <w:t>设计带防滑荧光踏板，贴心守护学生安全</w:t>
                      </w:r>
                    </w:p>
                  </w:txbxContent>
                </v:textbox>
              </v:shape>
            </w:pict>
          </mc:Fallback>
        </mc:AlternateContent>
      </w:r>
    </w:p>
    <w:p w14:paraId="0807B1A1">
      <w:pPr>
        <w:spacing w:line="480" w:lineRule="auto"/>
        <w:ind w:firstLine="560"/>
        <w:jc w:val="left"/>
        <w:rPr>
          <w:rFonts w:hint="eastAsia" w:asciiTheme="minorEastAsia" w:hAnsiTheme="minorEastAsia" w:eastAsiaTheme="minorEastAsia" w:cstheme="minorEastAsia"/>
          <w:b/>
          <w:bCs/>
          <w:color w:val="auto"/>
          <w:kern w:val="0"/>
          <w:sz w:val="24"/>
          <w:szCs w:val="24"/>
          <w:highlight w:val="none"/>
          <w:shd w:val="clear" w:color="auto" w:fill="FFFFFF"/>
          <w:lang w:bidi="ar"/>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4.单人高架-侧梯组合式公寓床（一面墙排列展示）</w:t>
      </w:r>
    </w:p>
    <w:p w14:paraId="134ABF0C">
      <w:pP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88960" behindDoc="1" locked="0" layoutInCell="1" allowOverlap="1">
            <wp:simplePos x="0" y="0"/>
            <wp:positionH relativeFrom="column">
              <wp:posOffset>1019810</wp:posOffset>
            </wp:positionH>
            <wp:positionV relativeFrom="paragraph">
              <wp:posOffset>19685</wp:posOffset>
            </wp:positionV>
            <wp:extent cx="7470775" cy="5586730"/>
            <wp:effectExtent l="0" t="0" r="9525" b="1270"/>
            <wp:wrapNone/>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19"/>
                    <a:stretch>
                      <a:fillRect/>
                    </a:stretch>
                  </pic:blipFill>
                  <pic:spPr>
                    <a:xfrm>
                      <a:off x="0" y="0"/>
                      <a:ext cx="7470775" cy="5586730"/>
                    </a:xfrm>
                    <a:prstGeom prst="rect">
                      <a:avLst/>
                    </a:prstGeom>
                    <a:noFill/>
                    <a:ln>
                      <a:noFill/>
                    </a:ln>
                  </pic:spPr>
                </pic:pic>
              </a:graphicData>
            </a:graphic>
          </wp:anchor>
        </w:drawing>
      </w:r>
    </w:p>
    <w:p w14:paraId="3F605968">
      <w:pPr>
        <w:spacing w:line="480" w:lineRule="auto"/>
        <w:ind w:firstLine="560"/>
        <w:jc w:val="left"/>
        <w:rPr>
          <w:rFonts w:hint="eastAsia" w:asciiTheme="minorEastAsia" w:hAnsiTheme="minorEastAsia" w:eastAsiaTheme="minorEastAsia" w:cstheme="minorEastAsia"/>
          <w:b/>
          <w:bCs/>
          <w:color w:val="auto"/>
          <w:kern w:val="0"/>
          <w:sz w:val="24"/>
          <w:szCs w:val="24"/>
          <w:highlight w:val="none"/>
          <w:shd w:val="clear" w:color="auto" w:fill="FFFFFF"/>
          <w:lang w:bidi="ar"/>
        </w:rPr>
        <w:sectPr>
          <w:pgSz w:w="16838" w:h="11906" w:orient="landscape"/>
          <w:pgMar w:top="669" w:right="873" w:bottom="669" w:left="873" w:header="851" w:footer="992" w:gutter="0"/>
          <w:cols w:space="425" w:num="1"/>
          <w:docGrid w:type="lines" w:linePitch="312" w:charSpace="0"/>
        </w:sectPr>
      </w:pPr>
      <w:r>
        <w:rPr>
          <w:rFonts w:hint="eastAsia" w:asciiTheme="minorEastAsia" w:hAnsiTheme="minorEastAsia" w:eastAsiaTheme="minorEastAsia" w:cstheme="minorEastAsia"/>
          <w:b/>
          <w:bCs/>
          <w:color w:val="auto"/>
          <w:kern w:val="0"/>
          <w:sz w:val="24"/>
          <w:szCs w:val="24"/>
          <w:highlight w:val="none"/>
          <w:shd w:val="clear" w:color="auto" w:fill="FFFFFF"/>
          <w:lang w:bidi="ar"/>
        </w:rPr>
        <w:drawing>
          <wp:anchor distT="0" distB="0" distL="114300" distR="114300" simplePos="0" relativeHeight="251693056" behindDoc="1" locked="0" layoutInCell="1" allowOverlap="1">
            <wp:simplePos x="0" y="0"/>
            <wp:positionH relativeFrom="column">
              <wp:posOffset>2710180</wp:posOffset>
            </wp:positionH>
            <wp:positionV relativeFrom="paragraph">
              <wp:posOffset>334645</wp:posOffset>
            </wp:positionV>
            <wp:extent cx="4172585" cy="5695315"/>
            <wp:effectExtent l="0" t="0" r="5715" b="6985"/>
            <wp:wrapNone/>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20"/>
                    <a:stretch>
                      <a:fillRect/>
                    </a:stretch>
                  </pic:blipFill>
                  <pic:spPr>
                    <a:xfrm>
                      <a:off x="0" y="0"/>
                      <a:ext cx="4172585" cy="5695315"/>
                    </a:xfrm>
                    <a:prstGeom prst="rect">
                      <a:avLst/>
                    </a:prstGeom>
                    <a:noFill/>
                    <a:ln>
                      <a:noFill/>
                    </a:ln>
                  </pic:spPr>
                </pic:pic>
              </a:graphicData>
            </a:graphic>
          </wp:anchor>
        </w:drawing>
      </w:r>
      <w:r>
        <w:rPr>
          <w:rFonts w:hint="eastAsia" w:asciiTheme="minorEastAsia" w:hAnsiTheme="minorEastAsia" w:eastAsiaTheme="minorEastAsia" w:cstheme="minorEastAsia"/>
          <w:b/>
          <w:bCs/>
          <w:color w:val="auto"/>
          <w:kern w:val="0"/>
          <w:sz w:val="24"/>
          <w:szCs w:val="24"/>
          <w:highlight w:val="none"/>
          <w:shd w:val="clear" w:color="auto" w:fill="FFFFFF"/>
          <w:lang w:bidi="ar"/>
        </w:rPr>
        <w:t>5.单人高架-侧梯组合式公寓床（单人位组合图）</w:t>
      </w:r>
    </w:p>
    <w:p w14:paraId="30B566A2">
      <w:pPr>
        <w:spacing w:line="480" w:lineRule="auto"/>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（四）、拟采购项目的详细需求</w:t>
      </w:r>
    </w:p>
    <w:p w14:paraId="223B8B12">
      <w:pPr>
        <w:autoSpaceDE w:val="0"/>
        <w:autoSpaceDN w:val="0"/>
        <w:adjustRightInd w:val="0"/>
        <w:spacing w:line="440" w:lineRule="exact"/>
        <w:ind w:firstLine="482" w:firstLineChars="200"/>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（1）组合式公寓床-铁架床</w:t>
      </w:r>
    </w:p>
    <w:p w14:paraId="43B43F9F">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1.规格：</w:t>
      </w:r>
      <w:r>
        <w:rPr>
          <w:rFonts w:hint="eastAsia" w:asciiTheme="minorEastAsia" w:hAnsiTheme="minorEastAsia" w:eastAsiaTheme="minorEastAsia" w:cstheme="minorEastAsia"/>
          <w:color w:val="auto"/>
          <w:kern w:val="0"/>
          <w:sz w:val="24"/>
          <w:szCs w:val="24"/>
          <w:highlight w:val="none"/>
        </w:rPr>
        <w:t>2100*900*2910mm（长*宽*高±10mm，高度含蚊帐架）</w:t>
      </w:r>
    </w:p>
    <w:p w14:paraId="2C396EBB">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2.材质要求：</w:t>
      </w:r>
      <w:r>
        <w:rPr>
          <w:rFonts w:hint="eastAsia" w:asciiTheme="minorEastAsia" w:hAnsiTheme="minorEastAsia" w:eastAsiaTheme="minorEastAsia" w:cstheme="minorEastAsia"/>
          <w:color w:val="auto"/>
          <w:kern w:val="0"/>
          <w:sz w:val="24"/>
          <w:szCs w:val="24"/>
          <w:highlight w:val="none"/>
        </w:rPr>
        <w:t>所有钢件表面使用环保型陶化硅烷工艺处理，经无磷脱脂、水洗、有机酸除锈等工序。表面波纹均匀一致，无脱焊、虚焊、焊穿等现象，表面采用灰白色喷涂塑粉。所有钢件表面需确保产品的表面光滑，无毛刺。钢材部分厚度要求：主要重要部件立柱和横梁厚度要保证在≧1.2mm厚。家具所有钢材材质均采用国家标准钢材，符合GB/T 6725-2017《冷弯型钢通用技术要求》，管材无裂缝、叠缝，外露端口面均封闭，焊接处应平整、无脱焊、虚焊、焊穿、错位，焊接处需打磨光滑、无夹渣、气孔、焊瘤、焊丝头、咬边、飞溅，焊接处表面波纹均匀。冲压件无脱层、裂缝。所有钢材经更为环保的陶化处理，通过粉末喷涂设备进行静电热固性粉末喷塑，喷塑均匀，漆膜附着力强，喷涂均匀，附着牢固，耐腐蚀，耐划擦，耐冲击。喷涂层应光滑均匀，色泽一致，无流挂、疙瘩、皱皮及飞漆等缺陷，而且手感细腻，附着力高，无静电，承重力不低于国家标准，为学生提供安全可靠的使用体验。</w:t>
      </w:r>
    </w:p>
    <w:p w14:paraId="41542AC4">
      <w:pPr>
        <w:spacing w:line="480" w:lineRule="auto"/>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3.钢床的部件规格：</w:t>
      </w:r>
    </w:p>
    <w:p w14:paraId="61D542DD">
      <w:pPr>
        <w:widowControl/>
        <w:spacing w:line="36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3.1立柱：立柱选用优质冷轧钢板经成型机一次轧制而成的开口异型材，立柱必须做到里外双面喷塑，开口处有两道向内折弯以增强立柱的强度；成型后立面尺寸为72mm（±2mm）*72mm（±2mm）*厚度≧1.2mm，两侧立柱正面中间一面有2股由外向内凸进，达到加强硬度作用，（立柱详见部件示意图）。所有立柱两端带有塑制保护套，立柱保护套跟立柱必须紧密吻合，不容易拔出和脱落的问题。</w:t>
      </w:r>
    </w:p>
    <w:p w14:paraId="7146B519">
      <w:pPr>
        <w:widowControl/>
        <w:spacing w:line="360" w:lineRule="auto"/>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1782445" cy="1800225"/>
            <wp:effectExtent l="0" t="0" r="8255" b="3175"/>
            <wp:docPr id="47" name="图片 47" descr="D:\鸿盛（木杉）\weichat\WeChat Files\wxid_eybq4r1jecmi11\FileStorage\Temp\1680858751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鸿盛（木杉）\weichat\WeChat Files\wxid_eybq4r1jecmi11\FileStorage\Temp\1680858751969.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82445" cy="1800225"/>
                    </a:xfrm>
                    <a:prstGeom prst="rect">
                      <a:avLst/>
                    </a:prstGeom>
                    <a:noFill/>
                    <a:ln>
                      <a:noFill/>
                    </a:ln>
                  </pic:spPr>
                </pic:pic>
              </a:graphicData>
            </a:graphic>
          </wp:inline>
        </w:drawing>
      </w:r>
      <w:r>
        <w:rPr>
          <w:rFonts w:hint="eastAsia" w:asciiTheme="minorEastAsia" w:hAnsiTheme="minorEastAsia" w:eastAsiaTheme="minorEastAsia" w:cstheme="minorEastAsia"/>
          <w:color w:val="auto"/>
          <w:sz w:val="24"/>
          <w:szCs w:val="24"/>
          <w:highlight w:val="none"/>
        </w:rPr>
        <w:drawing>
          <wp:inline distT="0" distB="0" distL="114300" distR="114300">
            <wp:extent cx="1454785" cy="1154430"/>
            <wp:effectExtent l="201295" t="325755" r="210820" b="335915"/>
            <wp:docPr id="48" name="图片 5" descr="立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descr="立柱3"/>
                    <pic:cNvPicPr>
                      <a:picLocks noChangeAspect="1"/>
                    </pic:cNvPicPr>
                  </pic:nvPicPr>
                  <pic:blipFill>
                    <a:blip r:embed="rId21"/>
                    <a:srcRect l="7558" t="13271" r="19485" b="9605"/>
                    <a:stretch>
                      <a:fillRect/>
                    </a:stretch>
                  </pic:blipFill>
                  <pic:spPr>
                    <a:xfrm rot="2280000">
                      <a:off x="0" y="0"/>
                      <a:ext cx="1454785" cy="1154430"/>
                    </a:xfrm>
                    <a:prstGeom prst="rect">
                      <a:avLst/>
                    </a:prstGeom>
                    <a:noFill/>
                    <a:ln>
                      <a:noFill/>
                    </a:ln>
                  </pic:spPr>
                </pic:pic>
              </a:graphicData>
            </a:graphic>
          </wp:inline>
        </w:drawing>
      </w:r>
    </w:p>
    <w:p w14:paraId="2A9037BE">
      <w:pPr>
        <w:pStyle w:val="5"/>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床立柱如图所示</w:t>
      </w:r>
    </w:p>
    <w:p w14:paraId="31A13514">
      <w:pPr>
        <w:widowControl/>
        <w:spacing w:line="36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3.2横梁：前、后长横梁采用型材80mm（±2mm）*38mm（±2mm）（含凸出舌头）*厚度≧1.3mm冷轧板经成型机一次轧成的开口异型管，前、后长横梁必须做到里外双面喷塑；横梁正面有一个宽度为26 mm（公差±2mm）的内凹加强筋，以增加横梁的强度，（床横梁详见部件示意图）。</w:t>
      </w:r>
    </w:p>
    <w:p w14:paraId="1DAAFED2">
      <w:pPr>
        <w:pStyle w:val="5"/>
        <w:rPr>
          <w:rFonts w:hint="eastAsia" w:asciiTheme="minorEastAsia" w:hAnsiTheme="minorEastAsia" w:eastAsiaTheme="minorEastAsia" w:cstheme="minorEastAsia"/>
          <w:color w:val="auto"/>
          <w:sz w:val="24"/>
          <w:szCs w:val="24"/>
          <w:highlight w:val="none"/>
        </w:rPr>
      </w:pPr>
    </w:p>
    <w:p w14:paraId="2B8FB750">
      <w:pPr>
        <w:ind w:firstLine="480"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1793875" cy="2011680"/>
            <wp:effectExtent l="0" t="0" r="9525" b="762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22"/>
                    <a:stretch>
                      <a:fillRect/>
                    </a:stretch>
                  </pic:blipFill>
                  <pic:spPr>
                    <a:xfrm>
                      <a:off x="0" y="0"/>
                      <a:ext cx="1793875" cy="2011680"/>
                    </a:xfrm>
                    <a:prstGeom prst="rect">
                      <a:avLst/>
                    </a:prstGeom>
                  </pic:spPr>
                </pic:pic>
              </a:graphicData>
            </a:graphic>
          </wp:inline>
        </w:drawing>
      </w:r>
    </w:p>
    <w:p w14:paraId="65ECFCCB">
      <w:pPr>
        <w:ind w:firstLine="482"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rPr>
        <w:t>床横梁如图所示</w:t>
      </w:r>
    </w:p>
    <w:p w14:paraId="584B81C6">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3.3短横梁1上短横梁采用：型材80mm（±2mm）*38mm（±2mm）*厚度≧1.1mm（双面喷塑）；短横梁2下短横梁采用：型材70mm（±2mm）×27mm（±2mm）×厚度≧1.1mm（双面喷塑）。</w:t>
      </w:r>
    </w:p>
    <w:p w14:paraId="7BC216A1">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3.4床挂件：采用优质钢板经冲压一次成型，成型后外形规格≧26*26*195*2.0mm，连接扣点采用不少于3个位置连接，床横梁与床立柱连接方式：卡扣式连接（无需螺栓），立柱上经数控冲床加工至少三个连接孔，通过与卡式连接件无缝式下压连接，实现使用后越用越紧的目的。</w:t>
      </w:r>
    </w:p>
    <w:p w14:paraId="530A9275">
      <w:pPr>
        <w:ind w:firstLine="480"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98176" behindDoc="1" locked="0" layoutInCell="1" allowOverlap="1">
            <wp:simplePos x="0" y="0"/>
            <wp:positionH relativeFrom="column">
              <wp:posOffset>1623060</wp:posOffset>
            </wp:positionH>
            <wp:positionV relativeFrom="paragraph">
              <wp:posOffset>5715</wp:posOffset>
            </wp:positionV>
            <wp:extent cx="1000125" cy="1397000"/>
            <wp:effectExtent l="0" t="0" r="3175" b="0"/>
            <wp:wrapNone/>
            <wp:docPr id="38" name="图片 1" descr="f17a5b2397048a43917825d3b744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descr="f17a5b2397048a43917825d3b7445a0"/>
                    <pic:cNvPicPr>
                      <a:picLocks noChangeAspect="1"/>
                    </pic:cNvPicPr>
                  </pic:nvPicPr>
                  <pic:blipFill>
                    <a:blip r:embed="rId23"/>
                    <a:stretch>
                      <a:fillRect/>
                    </a:stretch>
                  </pic:blipFill>
                  <pic:spPr>
                    <a:xfrm>
                      <a:off x="0" y="0"/>
                      <a:ext cx="1000125" cy="1397000"/>
                    </a:xfrm>
                    <a:prstGeom prst="rect">
                      <a:avLst/>
                    </a:prstGeom>
                    <a:noFill/>
                    <a:ln>
                      <a:noFill/>
                    </a:ln>
                  </pic:spPr>
                </pic:pic>
              </a:graphicData>
            </a:graphic>
          </wp:anchor>
        </w:drawing>
      </w:r>
      <w:r>
        <w:rPr>
          <w:rFonts w:hint="eastAsia" w:asciiTheme="minorEastAsia" w:hAnsiTheme="minorEastAsia" w:eastAsiaTheme="minorEastAsia" w:cstheme="minorEastAsia"/>
          <w:b/>
          <w:color w:val="auto"/>
          <w:sz w:val="24"/>
          <w:szCs w:val="24"/>
          <w:highlight w:val="none"/>
        </w:rPr>
        <w:t>床挂件如图所示：</w:t>
      </w:r>
    </w:p>
    <w:p w14:paraId="5096E81E">
      <w:pPr>
        <w:autoSpaceDE w:val="0"/>
        <w:autoSpaceDN w:val="0"/>
        <w:adjustRightInd w:val="0"/>
        <w:spacing w:line="440" w:lineRule="exact"/>
        <w:jc w:val="left"/>
        <w:rPr>
          <w:rFonts w:hint="eastAsia" w:asciiTheme="minorEastAsia" w:hAnsiTheme="minorEastAsia" w:eastAsiaTheme="minorEastAsia" w:cstheme="minorEastAsia"/>
          <w:color w:val="auto"/>
          <w:kern w:val="0"/>
          <w:sz w:val="24"/>
          <w:szCs w:val="24"/>
          <w:highlight w:val="none"/>
        </w:rPr>
      </w:pPr>
    </w:p>
    <w:p w14:paraId="3D17F25D">
      <w:pPr>
        <w:autoSpaceDE w:val="0"/>
        <w:autoSpaceDN w:val="0"/>
        <w:adjustRightInd w:val="0"/>
        <w:spacing w:line="440" w:lineRule="exact"/>
        <w:jc w:val="left"/>
        <w:rPr>
          <w:rFonts w:hint="eastAsia" w:asciiTheme="minorEastAsia" w:hAnsiTheme="minorEastAsia" w:eastAsiaTheme="minorEastAsia" w:cstheme="minorEastAsia"/>
          <w:color w:val="auto"/>
          <w:kern w:val="0"/>
          <w:sz w:val="24"/>
          <w:szCs w:val="24"/>
          <w:highlight w:val="none"/>
        </w:rPr>
      </w:pPr>
    </w:p>
    <w:p w14:paraId="3E0C544D">
      <w:pPr>
        <w:autoSpaceDE w:val="0"/>
        <w:autoSpaceDN w:val="0"/>
        <w:adjustRightInd w:val="0"/>
        <w:jc w:val="left"/>
        <w:rPr>
          <w:rFonts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 xml:space="preserve">                    </w:t>
      </w:r>
    </w:p>
    <w:p w14:paraId="1091EFB6">
      <w:pPr>
        <w:autoSpaceDE w:val="0"/>
        <w:autoSpaceDN w:val="0"/>
        <w:adjustRightInd w:val="0"/>
        <w:jc w:val="left"/>
        <w:rPr>
          <w:rFonts w:hint="eastAsia" w:asciiTheme="minorEastAsia" w:hAnsiTheme="minorEastAsia" w:eastAsiaTheme="minorEastAsia" w:cstheme="minorEastAsia"/>
          <w:color w:val="auto"/>
          <w:kern w:val="0"/>
          <w:sz w:val="24"/>
          <w:szCs w:val="24"/>
          <w:highlight w:val="none"/>
        </w:rPr>
      </w:pPr>
    </w:p>
    <w:p w14:paraId="6F9EB4E5">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3.5边档头一侧采用空吹塑板：床头护栏中空吹塑板：挡头采用中空吹塑工艺，表面皮纹处理造型美观，材料为HDPE 高密度聚乙烯，绿色环保，具有较高的刚性和韧性，机械强度好，表面耐磨、抗污等良好的特性；带IPAD槽挡头，挡头长*宽*厚度（包括上、下厚度）最大尺寸要求：长度为746±5mm，高度不小于300mm，下部厚度为30±2mm。上部厚度为65±2mm挡头一边分布有个置物槽，可存放IPAD；且槽的尺寸为：底部长*宽尺寸不小于242*12 mm，两侧边高度尺寸为120±3 mm；挡头具有至少13个透气尺寸不小于63*15 mm的平椭圆孔和2个透气尺寸不小于126*32 mm的平椭圆孔；在挡头的左右两侧均有一次成型的警示线和刻度线，以确保符合国家标准的要求；挡头采用预埋2个M6螺母，以保证与立柱的连接可靠，（中空吹塑板详见部件示意图）。另一侧档头横管采用25*19mm（公差±1mm）D型管，管材壁厚≥1.0 mm。管材底面具有1个向内尺寸为R2的加强筋，从而保证横梁的强度；管材底部形状为R12.5mm±2mm的圆弧表面，起到安全防护作用，（D型管详见部件示意图）。其余竖管采用≧20*20*1.0mm方管。</w:t>
      </w:r>
    </w:p>
    <w:p w14:paraId="199733F7">
      <w:pPr>
        <w:pStyle w:val="12"/>
        <w:ind w:left="0" w:leftChars="0" w:firstLine="0" w:firstLineChars="0"/>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边档头中空吹塑板如图所示：</w:t>
      </w:r>
    </w:p>
    <w:p w14:paraId="5FE7291C">
      <w:pPr>
        <w:pStyle w:val="12"/>
        <w:ind w:left="0" w:leftChars="0" w:firstLine="0" w:firstLineChars="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3171190" cy="2341880"/>
            <wp:effectExtent l="0" t="0" r="3810" b="7620"/>
            <wp:docPr id="1" name="Picture 2" descr="C:\Users\665566\Documents\Tencent Files\1461405236\FileRecv\305H挡头ipad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C:\Users\665566\Documents\Tencent Files\1461405236\FileRecv\305H挡头ipad槽.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171190" cy="2341880"/>
                    </a:xfrm>
                    <a:prstGeom prst="rect">
                      <a:avLst/>
                    </a:prstGeom>
                    <a:noFill/>
                  </pic:spPr>
                </pic:pic>
              </a:graphicData>
            </a:graphic>
          </wp:inline>
        </w:drawing>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2404745" cy="2484120"/>
            <wp:effectExtent l="0" t="0" r="8255" b="508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5"/>
                    <a:stretch>
                      <a:fillRect/>
                    </a:stretch>
                  </pic:blipFill>
                  <pic:spPr>
                    <a:xfrm>
                      <a:off x="0" y="0"/>
                      <a:ext cx="2404745" cy="2484120"/>
                    </a:xfrm>
                    <a:prstGeom prst="rect">
                      <a:avLst/>
                    </a:prstGeom>
                    <a:noFill/>
                    <a:ln>
                      <a:noFill/>
                    </a:ln>
                  </pic:spPr>
                </pic:pic>
              </a:graphicData>
            </a:graphic>
          </wp:inline>
        </w:drawing>
      </w:r>
    </w:p>
    <w:p w14:paraId="4A1D8372">
      <w:pPr>
        <w:pStyle w:val="12"/>
        <w:ind w:left="0" w:leftChars="0" w:firstLine="0" w:firstLineChars="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D型管如图所示</w:t>
      </w:r>
      <w:r>
        <w:rPr>
          <w:rFonts w:hint="eastAsia" w:asciiTheme="minorEastAsia" w:hAnsiTheme="minorEastAsia" w:eastAsiaTheme="minorEastAsia" w:cstheme="minorEastAsia"/>
          <w:color w:val="auto"/>
          <w:kern w:val="0"/>
          <w:sz w:val="24"/>
          <w:szCs w:val="24"/>
          <w:highlight w:val="none"/>
        </w:rPr>
        <w:t>：</w:t>
      </w:r>
    </w:p>
    <w:p w14:paraId="35D6388B">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2537460" cy="1902460"/>
            <wp:effectExtent l="0" t="0" r="2540" b="254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537460" cy="1902460"/>
                    </a:xfrm>
                    <a:prstGeom prst="rect">
                      <a:avLst/>
                    </a:prstGeom>
                  </pic:spPr>
                </pic:pic>
              </a:graphicData>
            </a:graphic>
          </wp:inline>
        </w:drawing>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2329180" cy="2103120"/>
            <wp:effectExtent l="0" t="0" r="7620" b="508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29180" cy="2103120"/>
                    </a:xfrm>
                    <a:prstGeom prst="rect">
                      <a:avLst/>
                    </a:prstGeom>
                  </pic:spPr>
                </pic:pic>
              </a:graphicData>
            </a:graphic>
          </wp:inline>
        </w:drawing>
      </w:r>
    </w:p>
    <w:p w14:paraId="270D8F69">
      <w:pPr>
        <w:autoSpaceDE w:val="0"/>
        <w:autoSpaceDN w:val="0"/>
        <w:adjustRightInd w:val="0"/>
        <w:spacing w:line="440" w:lineRule="exact"/>
        <w:jc w:val="left"/>
        <w:rPr>
          <w:rFonts w:hint="eastAsia" w:asciiTheme="minorEastAsia" w:hAnsiTheme="minorEastAsia" w:eastAsiaTheme="minorEastAsia" w:cstheme="minorEastAsia"/>
          <w:color w:val="auto"/>
          <w:kern w:val="0"/>
          <w:sz w:val="24"/>
          <w:szCs w:val="24"/>
          <w:highlight w:val="none"/>
        </w:rPr>
      </w:pPr>
    </w:p>
    <w:p w14:paraId="08932AAF">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3.6床护栏：总体高度均需达到国家标准≥300mm。护栏外框采用25*19mm（公差±1mm）D型管，管材壁厚≥1.0 mm。管材底面具有1个向内尺寸为R2的加强筋，从而保证横梁的强度；管材底部形状为R12.5mm±2mm的圆弧表面，起到安全防护作用。其余竖管采用≧20*20*1.0mm方管。护栏底部加焊≥0.8mm厚浮点冷轧钢板高度至少120mm，防止小物件跌落，底部钢板嵌入式护栏的设计结合了结构强度、功能性和美观性，增强了护栏的承重能力和抗冲击能力，结合上半部分的钢管，有效的加强通风、通光还有一定的隐私保护。</w:t>
      </w:r>
    </w:p>
    <w:p w14:paraId="1AF41C92">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3.7床桓：采用≥20mm*30mm，厚度≥0.7mm国标方形钢管，每个床位不低于5根。</w:t>
      </w:r>
    </w:p>
    <w:p w14:paraId="22538792">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3.8蚊帐架：采用国标圆钢管，规格为直径≥16mm厚度≥1.0mm。</w:t>
      </w:r>
    </w:p>
    <w:p w14:paraId="0C1B0D2B">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3.9爬梯：爬梯立柱采用66*33*40mm（公差±2mm），管材壁厚≥1.2 mm；造型成T型状，上下两端弧形（R9mm），且外侧面带有凹凸花纹（花纹要为模压一次成型），（爬梯立柱详见部件示意图）。爬梯立柱脚套规格：75*45*H35mm（公差±1mm），爬梯立柱脚套底部带有防滑圆点，爬梯立柱脚套为注塑一次成型（不允许3D打印）。配置至少5个爬梯踏板。踏板采用优质冷轧钢板冲压成型，尺寸为415mm*120mm*18mm（误差为±3mm），踏板表面有至少10条防滑条纹，踏板钢板厚度≥1.7mm ；踏板表面两端各有一个尺寸为 19*59mm（误差为±2mm）的内凹槽用于与一次注塑成型荧光板配合；荧光板采用一次注塑成型，尺寸为17mm*57mm（误差为±2mm），两端采用R9±2mm的圆角处理，其表面带有4个防滑点；荧光板底部与踏板采用两个倒扣圆柱进行固定，（踏板详见部件示意图）。</w:t>
      </w:r>
    </w:p>
    <w:p w14:paraId="2591527B">
      <w:pPr>
        <w:autoSpaceDE w:val="0"/>
        <w:autoSpaceDN w:val="0"/>
        <w:adjustRightInd w:val="0"/>
        <w:spacing w:line="440" w:lineRule="exact"/>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爬梯立柱如图所示：</w:t>
      </w:r>
    </w:p>
    <w:p w14:paraId="09ED1AC5">
      <w:pPr>
        <w:pStyle w:val="12"/>
        <w:ind w:firstLine="48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1682750" cy="2770505"/>
            <wp:effectExtent l="0" t="0" r="6350" b="10795"/>
            <wp:docPr id="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82750" cy="2770505"/>
                    </a:xfrm>
                    <a:prstGeom prst="rect">
                      <a:avLst/>
                    </a:prstGeom>
                  </pic:spPr>
                </pic:pic>
              </a:graphicData>
            </a:graphic>
          </wp:inline>
        </w:drawing>
      </w:r>
    </w:p>
    <w:p w14:paraId="0797C324">
      <w:pPr>
        <w:pStyle w:val="12"/>
        <w:ind w:left="0" w:leftChars="0" w:firstLine="0" w:firstLineChars="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踏板如图所示：</w:t>
      </w:r>
    </w:p>
    <w:p w14:paraId="519115BF">
      <w:pPr>
        <w:rPr>
          <w:rFonts w:hint="eastAsia" w:asciiTheme="minorEastAsia" w:hAnsiTheme="minorEastAsia" w:eastAsiaTheme="minorEastAsia" w:cstheme="minorEastAsia"/>
          <w:color w:val="auto"/>
          <w:sz w:val="24"/>
          <w:szCs w:val="24"/>
          <w:highlight w:val="none"/>
        </w:rPr>
      </w:pPr>
    </w:p>
    <w:p w14:paraId="3B86D32F">
      <w:pPr>
        <w:pStyle w:val="5"/>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2665095" cy="1743075"/>
            <wp:effectExtent l="0" t="0" r="1905" b="9525"/>
            <wp:docPr id="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8"/>
                    <pic:cNvPicPr>
                      <a:picLocks noChangeAspect="1"/>
                    </pic:cNvPicPr>
                  </pic:nvPicPr>
                  <pic:blipFill>
                    <a:blip r:embed="rId29"/>
                    <a:stretch>
                      <a:fillRect/>
                    </a:stretch>
                  </pic:blipFill>
                  <pic:spPr>
                    <a:xfrm>
                      <a:off x="0" y="0"/>
                      <a:ext cx="2665095" cy="1743075"/>
                    </a:xfrm>
                    <a:prstGeom prst="rect">
                      <a:avLst/>
                    </a:prstGeom>
                  </pic:spPr>
                </pic:pic>
              </a:graphicData>
            </a:graphic>
          </wp:inline>
        </w:drawing>
      </w:r>
    </w:p>
    <w:p w14:paraId="12501161">
      <w:pPr>
        <w:rPr>
          <w:rFonts w:hint="eastAsia" w:asciiTheme="minorEastAsia" w:hAnsiTheme="minorEastAsia" w:eastAsiaTheme="minorEastAsia" w:cstheme="minorEastAsia"/>
          <w:color w:val="auto"/>
          <w:sz w:val="24"/>
          <w:szCs w:val="24"/>
          <w:highlight w:val="none"/>
        </w:rPr>
      </w:pPr>
    </w:p>
    <w:p w14:paraId="1EF2D91F">
      <w:pPr>
        <w:spacing w:line="480" w:lineRule="auto"/>
        <w:jc w:val="left"/>
        <w:rPr>
          <w:rFonts w:hint="eastAsia" w:asciiTheme="minorEastAsia" w:hAnsiTheme="minorEastAsia" w:eastAsiaTheme="minorEastAsia" w:cstheme="minorEastAsia"/>
          <w:color w:val="auto"/>
          <w:kern w:val="0"/>
          <w:sz w:val="24"/>
          <w:szCs w:val="24"/>
          <w:highlight w:val="none"/>
        </w:rPr>
        <w:sectPr>
          <w:pgSz w:w="16838" w:h="11906" w:orient="landscape"/>
          <w:pgMar w:top="669" w:right="873" w:bottom="669" w:left="873" w:header="851" w:footer="992" w:gutter="0"/>
          <w:cols w:space="425" w:num="1"/>
          <w:docGrid w:type="lines" w:linePitch="312" w:charSpace="0"/>
        </w:sectPr>
      </w:pPr>
    </w:p>
    <w:p w14:paraId="4E9E9B70">
      <w:pPr>
        <w:jc w:val="cente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95104" behindDoc="1" locked="0" layoutInCell="1" allowOverlap="1">
            <wp:simplePos x="0" y="0"/>
            <wp:positionH relativeFrom="column">
              <wp:posOffset>2818130</wp:posOffset>
            </wp:positionH>
            <wp:positionV relativeFrom="paragraph">
              <wp:posOffset>867410</wp:posOffset>
            </wp:positionV>
            <wp:extent cx="4321175" cy="4971415"/>
            <wp:effectExtent l="0" t="0" r="9525" b="6985"/>
            <wp:wrapNone/>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30"/>
                    <a:stretch>
                      <a:fillRect/>
                    </a:stretch>
                  </pic:blipFill>
                  <pic:spPr>
                    <a:xfrm>
                      <a:off x="0" y="0"/>
                      <a:ext cx="4321175" cy="4971415"/>
                    </a:xfrm>
                    <a:prstGeom prst="rect">
                      <a:avLst/>
                    </a:prstGeom>
                  </pic:spPr>
                </pic:pic>
              </a:graphicData>
            </a:graphic>
          </wp:anchor>
        </w:drawing>
      </w:r>
      <w:r>
        <w:rPr>
          <w:rFonts w:hint="eastAsia" w:asciiTheme="minorEastAsia" w:hAnsiTheme="minorEastAsia" w:eastAsiaTheme="minorEastAsia" w:cstheme="minorEastAsia"/>
          <w:b/>
          <w:bCs/>
          <w:color w:val="auto"/>
          <w:sz w:val="24"/>
          <w:szCs w:val="24"/>
          <w:highlight w:val="none"/>
        </w:rPr>
        <w:t>组合式公寓床-铁架床设计图</w:t>
      </w:r>
    </w:p>
    <w:p w14:paraId="70479C47">
      <w:pPr>
        <w:spacing w:line="480" w:lineRule="auto"/>
        <w:ind w:firstLine="482" w:firstLineChars="200"/>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（2）组合式公寓床-木家具</w:t>
      </w:r>
    </w:p>
    <w:p w14:paraId="4D55BD7E">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1.规格:</w:t>
      </w:r>
      <w:r>
        <w:rPr>
          <w:rFonts w:hint="eastAsia" w:asciiTheme="minorEastAsia" w:hAnsiTheme="minorEastAsia" w:eastAsiaTheme="minorEastAsia" w:cstheme="minorEastAsia"/>
          <w:color w:val="auto"/>
          <w:kern w:val="0"/>
          <w:sz w:val="24"/>
          <w:szCs w:val="24"/>
          <w:highlight w:val="none"/>
        </w:rPr>
        <w:t>2040*618*1695mm（长*深*高，±10mm）</w:t>
      </w:r>
    </w:p>
    <w:p w14:paraId="0961B34D">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2.材质要求:板材厚度要求桌面≧25mm，背板及抽底板≧5mm,其余板材厚度≧17mm。柜体及床板采用E0级环保板材，甲醛释放量需符合国家标准（≦0.05mg/m³），板露边处采用同色封边条加热熔胶封边,保证受热受冻不会脱胶开裂。木家具所有板材材质均采用国家标准板材，符合国家通用标准，保证受热受冻不会脱胶开裂。</w:t>
      </w:r>
    </w:p>
    <w:p w14:paraId="15287086">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3.木家具的部件规格：</w:t>
      </w:r>
    </w:p>
    <w:p w14:paraId="524218A4">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3.1桌面1210*600mm(士2mm)，桌面整体厚度达到≥25mm；采用E0级中密度纤维板贴三聚氰胺面+PP注塑封边、防水防潮；注塑单边厚度≥2mm，注塑边总高度30mm(士2mm)，保证使用过程中不易被撕掉或脱落；靠近人体方向封边面为倒内斜边设计，规格为</w:t>
      </w:r>
      <w:bookmarkStart w:id="0" w:name="OLE_LINK1"/>
      <w:r>
        <w:rPr>
          <w:rFonts w:hint="eastAsia" w:asciiTheme="minorEastAsia" w:hAnsiTheme="minorEastAsia" w:eastAsiaTheme="minorEastAsia" w:cstheme="minorEastAsia"/>
          <w:color w:val="auto"/>
          <w:kern w:val="0"/>
          <w:sz w:val="24"/>
          <w:szCs w:val="24"/>
          <w:highlight w:val="none"/>
        </w:rPr>
        <w:t>≥</w:t>
      </w:r>
      <w:bookmarkEnd w:id="0"/>
      <w:r>
        <w:rPr>
          <w:rFonts w:hint="eastAsia" w:asciiTheme="minorEastAsia" w:hAnsiTheme="minorEastAsia" w:eastAsiaTheme="minorEastAsia" w:cstheme="minorEastAsia"/>
          <w:color w:val="auto"/>
          <w:kern w:val="0"/>
          <w:sz w:val="24"/>
          <w:szCs w:val="24"/>
          <w:highlight w:val="none"/>
        </w:rPr>
        <w:t>15*15mm，有效防止学生碰伤；衣柜连接桌面的支撑条宽度≥30mm，上折边L型固定在桌面下边；桌面中间有注塑封边带一体注塑成型穿线孔为φ60mm（±2mm），（详见注塑封边桌面部件图）。出线孔配有装饰盖。书桌侧边配有抽屉及边柜，书桌上方配有书架规格为1200*240*935mm。</w:t>
      </w:r>
    </w:p>
    <w:p w14:paraId="64926AE2">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3.2衣柜整体规格为830*618*1695mm，衣柜上部为衣服叠放区域，下部设有挂放区域，柜身采用≥17mm三聚氰胺双饰面板制作，基材为E0级中密度纤维板；背板及抽底板为5mm中纤板（双面贴）。板露边处采用同色PVC加热熔胶封边，保证受热受冻不会脱胶开裂。</w:t>
      </w:r>
    </w:p>
    <w:p w14:paraId="5B6570B0">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3.3配件部分:抽屉采用三节导轨，铰链采用翻板式铰链，锁片为一字注塑包边锁片：锁片由两种材料组成，最外面为ABS材料芯部为不锈钢零件进行一次注塑成型，两端为半圆型设计，芯部零件采用1.2mm厚度的不锈钢板一次冲压成型，这样不但保证锁片的强度而且保证锁片边角对使用者在使用时的安全；锁片最大尺寸规格为：总长75±3mm， 宽 17±2mm， 高 3.5±1mm，（详见一字注塑包边锁片部件图）。配锁孔护盖;铝合金圆形荧光拉手：规格：Ф25（±1）*25（±1）mm,固定孔为M4;底座为Ф25（±1）*3（±1）mm；中间高度为12（±1）mm；上部为三层防滑设计，高度为9mm（±1）,上圆弧角R度为大于1.5mm；顶层为圆形，内带中空圆形荧光设计；荧光采用滴胶工艺制作，宽度≥3mm ,厚度≥1mm;荧光条内圆直径≥13mm,外圆直径≥21mm，（详见铝合金圆形荧光拉手部件图）。挂衣杆采用直径≥26mm不锈钢管，衣杆两侧配固定架和衣杆盖：锌合金衣杆固定架采用圆形留有四孔固定位规格：57*57*11mm（±2％）厚度≥1.4mm，支撑衣杆处宽度≥7.5mm厚度≥3mm；配有锌合金衣杆盖，锌合金衣杆盖规格：60*60*13mm（±2％）厚度≥1.1mm，与固定架紧密结合，防止使用时脱落，（详见衣杆两侧配固定架和衣杆盖部件图）。柜体底部配防水脚垫。</w:t>
      </w:r>
    </w:p>
    <w:p w14:paraId="479E48BD">
      <w:pPr>
        <w:pStyle w:val="12"/>
        <w:ind w:firstLine="482"/>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注塑封边桌面如图所示：</w:t>
      </w:r>
    </w:p>
    <w:p w14:paraId="320D6742">
      <w:pPr>
        <w:pStyle w:val="12"/>
        <w:ind w:firstLine="48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3019425" cy="1902460"/>
            <wp:effectExtent l="0" t="0" r="3175" b="254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019425" cy="1902460"/>
                    </a:xfrm>
                    <a:prstGeom prst="rect">
                      <a:avLst/>
                    </a:prstGeom>
                  </pic:spPr>
                </pic:pic>
              </a:graphicData>
            </a:graphic>
          </wp:inline>
        </w:drawing>
      </w:r>
    </w:p>
    <w:p w14:paraId="2E4C5EB1">
      <w:pPr>
        <w:rPr>
          <w:rFonts w:hint="eastAsia" w:asciiTheme="minorEastAsia" w:hAnsiTheme="minorEastAsia" w:eastAsiaTheme="minorEastAsia" w:cstheme="minorEastAsia"/>
          <w:color w:val="auto"/>
          <w:sz w:val="24"/>
          <w:szCs w:val="24"/>
          <w:highlight w:val="none"/>
        </w:rPr>
      </w:pPr>
    </w:p>
    <w:p w14:paraId="7DEE9879">
      <w:pPr>
        <w:pStyle w:val="12"/>
        <w:ind w:firstLine="482"/>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一字注塑包边锁片如图所示：</w:t>
      </w:r>
    </w:p>
    <w:p w14:paraId="28C7857C">
      <w:pPr>
        <w:pStyle w:val="12"/>
        <w:ind w:firstLine="48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inline distT="0" distB="0" distL="114300" distR="114300">
            <wp:extent cx="2402840" cy="1423035"/>
            <wp:effectExtent l="0" t="0" r="10160" b="1206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pic:cNvPicPr>
                  </pic:nvPicPr>
                  <pic:blipFill>
                    <a:blip r:embed="rId32" cstate="print"/>
                    <a:stretch>
                      <a:fillRect/>
                    </a:stretch>
                  </pic:blipFill>
                  <pic:spPr>
                    <a:xfrm>
                      <a:off x="0" y="0"/>
                      <a:ext cx="2402840" cy="1423035"/>
                    </a:xfrm>
                    <a:prstGeom prst="rect">
                      <a:avLst/>
                    </a:prstGeom>
                    <a:noFill/>
                    <a:ln w="9525">
                      <a:noFill/>
                    </a:ln>
                  </pic:spPr>
                </pic:pic>
              </a:graphicData>
            </a:graphic>
          </wp:inline>
        </w:drawing>
      </w:r>
    </w:p>
    <w:p w14:paraId="6C0A012F">
      <w:pPr>
        <w:rPr>
          <w:rFonts w:hint="eastAsia" w:asciiTheme="minorEastAsia" w:hAnsiTheme="minorEastAsia" w:eastAsiaTheme="minorEastAsia" w:cstheme="minorEastAsia"/>
          <w:b/>
          <w:bCs/>
          <w:color w:val="auto"/>
          <w:sz w:val="24"/>
          <w:szCs w:val="24"/>
          <w:highlight w:val="none"/>
        </w:rPr>
      </w:pPr>
    </w:p>
    <w:p w14:paraId="652D8F12">
      <w:pPr>
        <w:pStyle w:val="12"/>
        <w:ind w:firstLine="482"/>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铝合金圆形荧光拉手如图所示：</w:t>
      </w:r>
    </w:p>
    <w:p w14:paraId="2081DA5A">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1507490" cy="1734185"/>
            <wp:effectExtent l="0" t="0" r="3810" b="5715"/>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07490" cy="1734185"/>
                    </a:xfrm>
                    <a:prstGeom prst="rect">
                      <a:avLst/>
                    </a:prstGeom>
                  </pic:spPr>
                </pic:pic>
              </a:graphicData>
            </a:graphic>
          </wp:inline>
        </w:drawing>
      </w:r>
      <w:r>
        <w:rPr>
          <w:rFonts w:hint="eastAsia" w:asciiTheme="minorEastAsia" w:hAnsiTheme="minorEastAsia" w:eastAsiaTheme="minorEastAsia" w:cstheme="minorEastAsia"/>
          <w:color w:val="auto"/>
          <w:sz w:val="24"/>
          <w:szCs w:val="24"/>
          <w:highlight w:val="none"/>
        </w:rPr>
        <w:t xml:space="preserve">   </w:t>
      </w:r>
    </w:p>
    <w:p w14:paraId="62BD0810">
      <w:pPr>
        <w:pStyle w:val="12"/>
        <w:ind w:firstLine="480"/>
        <w:rPr>
          <w:rFonts w:hint="eastAsia" w:asciiTheme="minorEastAsia" w:hAnsiTheme="minorEastAsia" w:eastAsiaTheme="minorEastAsia" w:cstheme="minorEastAsia"/>
          <w:color w:val="auto"/>
          <w:sz w:val="24"/>
          <w:szCs w:val="24"/>
          <w:highlight w:val="none"/>
        </w:rPr>
      </w:pPr>
    </w:p>
    <w:p w14:paraId="14E29920">
      <w:pP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p>
    <w:p w14:paraId="45C14414">
      <w:pPr>
        <w:ind w:firstLine="482" w:firstLineChars="200"/>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衣杆两侧配固定架和衣杆盖如图所示：</w:t>
      </w:r>
    </w:p>
    <w:p w14:paraId="6C5A8534">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3006725" cy="3225800"/>
            <wp:effectExtent l="0" t="0" r="3175" b="0"/>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34"/>
                    <a:stretch>
                      <a:fillRect/>
                    </a:stretch>
                  </pic:blipFill>
                  <pic:spPr>
                    <a:xfrm>
                      <a:off x="0" y="0"/>
                      <a:ext cx="3006725" cy="3225800"/>
                    </a:xfrm>
                    <a:prstGeom prst="rect">
                      <a:avLst/>
                    </a:prstGeom>
                    <a:noFill/>
                    <a:ln>
                      <a:noFill/>
                    </a:ln>
                  </pic:spPr>
                </pic:pic>
              </a:graphicData>
            </a:graphic>
          </wp:inline>
        </w:drawing>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5271135" cy="3667760"/>
            <wp:effectExtent l="0" t="0" r="12065" b="2540"/>
            <wp:docPr id="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
                    <pic:cNvPicPr>
                      <a:picLocks noChangeAspect="1"/>
                    </pic:cNvPicPr>
                  </pic:nvPicPr>
                  <pic:blipFill>
                    <a:blip r:embed="rId35"/>
                    <a:stretch>
                      <a:fillRect/>
                    </a:stretch>
                  </pic:blipFill>
                  <pic:spPr>
                    <a:xfrm>
                      <a:off x="0" y="0"/>
                      <a:ext cx="5271135" cy="3667760"/>
                    </a:xfrm>
                    <a:prstGeom prst="rect">
                      <a:avLst/>
                    </a:prstGeom>
                    <a:noFill/>
                    <a:ln>
                      <a:noFill/>
                    </a:ln>
                  </pic:spPr>
                </pic:pic>
              </a:graphicData>
            </a:graphic>
          </wp:inline>
        </w:drawing>
      </w:r>
    </w:p>
    <w:p w14:paraId="7E1BEA18">
      <w:pPr>
        <w:spacing w:line="480" w:lineRule="auto"/>
        <w:jc w:val="left"/>
        <w:rPr>
          <w:rFonts w:hint="eastAsia" w:asciiTheme="minorEastAsia" w:hAnsiTheme="minorEastAsia" w:eastAsiaTheme="minorEastAsia" w:cstheme="minorEastAsia"/>
          <w:color w:val="auto"/>
          <w:kern w:val="0"/>
          <w:sz w:val="24"/>
          <w:szCs w:val="24"/>
          <w:highlight w:val="none"/>
        </w:rPr>
      </w:pPr>
    </w:p>
    <w:p w14:paraId="2975653C">
      <w:pPr>
        <w:spacing w:line="480" w:lineRule="auto"/>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kern w:val="0"/>
          <w:sz w:val="24"/>
          <w:szCs w:val="24"/>
          <w:highlight w:val="none"/>
        </w:rPr>
        <w:t>3.4杉木床铺板：规格按床架实际空间制作；采用双面刨光厚度≥16mm杉木板，杉木铺板≦7块，板间缝隙≦5mm，经烘干、正反双面抛光处理，木材进行防虫、除脂、干燥处理，产品结构强度和外观美观牢固，材质符合国家标准要求，床板背面采用4根规格≥30mm*40mm实木方条横杠钉制加固，符合相关质量和环保要求。采用E0级环保板材，甲醛释放量需符合国家标准（≦0.05mg/m³），为学生营造健康无污染的居住环境。</w:t>
      </w:r>
      <w:r>
        <w:rPr>
          <w:rFonts w:hint="eastAsia" w:asciiTheme="minorEastAsia" w:hAnsiTheme="minorEastAsia" w:eastAsiaTheme="minorEastAsia" w:cstheme="minorEastAsia"/>
          <w:color w:val="auto"/>
          <w:sz w:val="24"/>
          <w:szCs w:val="24"/>
          <w:highlight w:val="none"/>
        </w:rPr>
        <w:t xml:space="preserve">                          </w:t>
      </w:r>
    </w:p>
    <w:p w14:paraId="09F24A6C">
      <w:pP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p>
    <w:p w14:paraId="27934B61">
      <w:pPr>
        <w:jc w:val="center"/>
        <w:rPr>
          <w:rFonts w:hint="eastAsia" w:asciiTheme="minorEastAsia" w:hAnsiTheme="minorEastAsia" w:eastAsiaTheme="minorEastAsia" w:cstheme="minorEastAsia"/>
          <w:color w:val="auto"/>
          <w:sz w:val="24"/>
          <w:szCs w:val="24"/>
          <w:highlight w:val="none"/>
        </w:rPr>
        <w:sectPr>
          <w:pgSz w:w="16838" w:h="11906" w:orient="landscape"/>
          <w:pgMar w:top="669" w:right="873" w:bottom="669" w:left="873" w:header="851" w:footer="992" w:gutter="0"/>
          <w:cols w:space="425" w:num="1"/>
          <w:docGrid w:type="lines" w:linePitch="312" w:charSpace="0"/>
        </w:sect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96128" behindDoc="1" locked="0" layoutInCell="1" allowOverlap="1">
            <wp:simplePos x="0" y="0"/>
            <wp:positionH relativeFrom="column">
              <wp:posOffset>2131060</wp:posOffset>
            </wp:positionH>
            <wp:positionV relativeFrom="paragraph">
              <wp:posOffset>383540</wp:posOffset>
            </wp:positionV>
            <wp:extent cx="6399530" cy="5669915"/>
            <wp:effectExtent l="0" t="0" r="1270" b="6985"/>
            <wp:wrapNone/>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36"/>
                    <a:stretch>
                      <a:fillRect/>
                    </a:stretch>
                  </pic:blipFill>
                  <pic:spPr>
                    <a:xfrm>
                      <a:off x="0" y="0"/>
                      <a:ext cx="6399530" cy="5669915"/>
                    </a:xfrm>
                    <a:prstGeom prst="rect">
                      <a:avLst/>
                    </a:prstGeom>
                    <a:noFill/>
                    <a:ln>
                      <a:noFill/>
                    </a:ln>
                  </pic:spPr>
                </pic:pic>
              </a:graphicData>
            </a:graphic>
          </wp:anchor>
        </w:drawing>
      </w:r>
      <w:r>
        <w:rPr>
          <w:rFonts w:hint="eastAsia" w:asciiTheme="minorEastAsia" w:hAnsiTheme="minorEastAsia" w:eastAsiaTheme="minorEastAsia" w:cstheme="minorEastAsia"/>
          <w:b/>
          <w:bCs/>
          <w:color w:val="auto"/>
          <w:sz w:val="24"/>
          <w:szCs w:val="24"/>
          <w:highlight w:val="none"/>
        </w:rPr>
        <w:t>组合式公寓床-木家具设计图</w:t>
      </w:r>
    </w:p>
    <w:p w14:paraId="56FAD721">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color w:val="auto"/>
          <w:kern w:val="0"/>
          <w:sz w:val="24"/>
          <w:szCs w:val="24"/>
          <w:highlight w:val="none"/>
        </w:rPr>
        <w:t>杉木床铺板设计图</w:t>
      </w:r>
    </w:p>
    <w:p w14:paraId="06FE34A9">
      <w:pPr>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97152" behindDoc="0" locked="0" layoutInCell="1" allowOverlap="1">
            <wp:simplePos x="0" y="0"/>
            <wp:positionH relativeFrom="column">
              <wp:posOffset>602615</wp:posOffset>
            </wp:positionH>
            <wp:positionV relativeFrom="paragraph">
              <wp:posOffset>64135</wp:posOffset>
            </wp:positionV>
            <wp:extent cx="5160645" cy="3170555"/>
            <wp:effectExtent l="0" t="0" r="8255" b="4445"/>
            <wp:wrapNone/>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37"/>
                    <a:stretch>
                      <a:fillRect/>
                    </a:stretch>
                  </pic:blipFill>
                  <pic:spPr>
                    <a:xfrm>
                      <a:off x="0" y="0"/>
                      <a:ext cx="5160645" cy="3170555"/>
                    </a:xfrm>
                    <a:prstGeom prst="rect">
                      <a:avLst/>
                    </a:prstGeom>
                  </pic:spPr>
                </pic:pic>
              </a:graphicData>
            </a:graphic>
          </wp:anchor>
        </w:drawing>
      </w:r>
    </w:p>
    <w:p w14:paraId="76255A6C">
      <w:pPr>
        <w:jc w:val="left"/>
        <w:rPr>
          <w:rFonts w:hint="eastAsia" w:asciiTheme="minorEastAsia" w:hAnsiTheme="minorEastAsia" w:eastAsiaTheme="minorEastAsia" w:cstheme="minorEastAsia"/>
          <w:b/>
          <w:bCs/>
          <w:color w:val="auto"/>
          <w:sz w:val="24"/>
          <w:szCs w:val="24"/>
          <w:highlight w:val="none"/>
        </w:rPr>
      </w:pPr>
    </w:p>
    <w:p w14:paraId="64FA9EDE">
      <w:pPr>
        <w:jc w:val="left"/>
        <w:rPr>
          <w:rFonts w:hint="eastAsia" w:asciiTheme="minorEastAsia" w:hAnsiTheme="minorEastAsia" w:eastAsiaTheme="minorEastAsia" w:cstheme="minorEastAsia"/>
          <w:b/>
          <w:bCs/>
          <w:color w:val="auto"/>
          <w:sz w:val="24"/>
          <w:szCs w:val="24"/>
          <w:highlight w:val="none"/>
        </w:rPr>
      </w:pPr>
    </w:p>
    <w:p w14:paraId="37B03555">
      <w:pPr>
        <w:jc w:val="left"/>
        <w:rPr>
          <w:rFonts w:hint="eastAsia" w:asciiTheme="minorEastAsia" w:hAnsiTheme="minorEastAsia" w:eastAsiaTheme="minorEastAsia" w:cstheme="minorEastAsia"/>
          <w:b/>
          <w:bCs/>
          <w:color w:val="auto"/>
          <w:sz w:val="24"/>
          <w:szCs w:val="24"/>
          <w:highlight w:val="none"/>
        </w:rPr>
      </w:pPr>
    </w:p>
    <w:p w14:paraId="6A27E041">
      <w:pPr>
        <w:jc w:val="left"/>
        <w:rPr>
          <w:rFonts w:hint="eastAsia" w:asciiTheme="minorEastAsia" w:hAnsiTheme="minorEastAsia" w:eastAsiaTheme="minorEastAsia" w:cstheme="minorEastAsia"/>
          <w:b/>
          <w:bCs/>
          <w:color w:val="auto"/>
          <w:sz w:val="24"/>
          <w:szCs w:val="24"/>
          <w:highlight w:val="none"/>
        </w:rPr>
      </w:pPr>
    </w:p>
    <w:p w14:paraId="37203816">
      <w:pPr>
        <w:jc w:val="left"/>
        <w:rPr>
          <w:rFonts w:hint="eastAsia" w:asciiTheme="minorEastAsia" w:hAnsiTheme="minorEastAsia" w:eastAsiaTheme="minorEastAsia" w:cstheme="minorEastAsia"/>
          <w:b/>
          <w:bCs/>
          <w:color w:val="auto"/>
          <w:sz w:val="24"/>
          <w:szCs w:val="24"/>
          <w:highlight w:val="none"/>
        </w:rPr>
      </w:pPr>
    </w:p>
    <w:p w14:paraId="4FB820BC">
      <w:pPr>
        <w:jc w:val="left"/>
        <w:rPr>
          <w:rFonts w:hint="eastAsia" w:asciiTheme="minorEastAsia" w:hAnsiTheme="minorEastAsia" w:eastAsiaTheme="minorEastAsia" w:cstheme="minorEastAsia"/>
          <w:b/>
          <w:bCs/>
          <w:color w:val="auto"/>
          <w:sz w:val="24"/>
          <w:szCs w:val="24"/>
          <w:highlight w:val="none"/>
        </w:rPr>
      </w:pPr>
    </w:p>
    <w:p w14:paraId="2F4E5E42">
      <w:pPr>
        <w:jc w:val="left"/>
        <w:rPr>
          <w:rFonts w:hint="eastAsia" w:asciiTheme="minorEastAsia" w:hAnsiTheme="minorEastAsia" w:eastAsiaTheme="minorEastAsia" w:cstheme="minorEastAsia"/>
          <w:b/>
          <w:bCs/>
          <w:color w:val="auto"/>
          <w:sz w:val="24"/>
          <w:szCs w:val="24"/>
          <w:highlight w:val="none"/>
        </w:rPr>
      </w:pPr>
    </w:p>
    <w:p w14:paraId="290D988E">
      <w:pPr>
        <w:jc w:val="left"/>
        <w:rPr>
          <w:rFonts w:hint="eastAsia" w:asciiTheme="minorEastAsia" w:hAnsiTheme="minorEastAsia" w:eastAsiaTheme="minorEastAsia" w:cstheme="minorEastAsia"/>
          <w:b/>
          <w:bCs/>
          <w:color w:val="auto"/>
          <w:sz w:val="24"/>
          <w:szCs w:val="24"/>
          <w:highlight w:val="none"/>
        </w:rPr>
      </w:pPr>
    </w:p>
    <w:p w14:paraId="040A7981">
      <w:pPr>
        <w:jc w:val="left"/>
        <w:rPr>
          <w:rFonts w:hint="eastAsia" w:asciiTheme="minorEastAsia" w:hAnsiTheme="minorEastAsia" w:eastAsiaTheme="minorEastAsia" w:cstheme="minorEastAsia"/>
          <w:b/>
          <w:bCs/>
          <w:color w:val="auto"/>
          <w:sz w:val="24"/>
          <w:szCs w:val="24"/>
          <w:highlight w:val="none"/>
        </w:rPr>
      </w:pPr>
    </w:p>
    <w:p w14:paraId="622DD60F">
      <w:pPr>
        <w:jc w:val="left"/>
        <w:rPr>
          <w:rFonts w:hint="eastAsia" w:asciiTheme="minorEastAsia" w:hAnsiTheme="minorEastAsia" w:eastAsiaTheme="minorEastAsia" w:cstheme="minorEastAsia"/>
          <w:b/>
          <w:bCs/>
          <w:color w:val="auto"/>
          <w:sz w:val="24"/>
          <w:szCs w:val="24"/>
          <w:highlight w:val="none"/>
        </w:rPr>
      </w:pPr>
    </w:p>
    <w:p w14:paraId="7D2A0129">
      <w:pPr>
        <w:jc w:val="left"/>
        <w:rPr>
          <w:rFonts w:hint="eastAsia" w:asciiTheme="minorEastAsia" w:hAnsiTheme="minorEastAsia" w:eastAsiaTheme="minorEastAsia" w:cstheme="minorEastAsia"/>
          <w:b/>
          <w:bCs/>
          <w:color w:val="auto"/>
          <w:sz w:val="24"/>
          <w:szCs w:val="24"/>
          <w:highlight w:val="none"/>
        </w:rPr>
      </w:pPr>
    </w:p>
    <w:p w14:paraId="39A2951A">
      <w:pPr>
        <w:jc w:val="left"/>
        <w:rPr>
          <w:rFonts w:hint="eastAsia" w:asciiTheme="minorEastAsia" w:hAnsiTheme="minorEastAsia" w:eastAsiaTheme="minorEastAsia" w:cstheme="minorEastAsia"/>
          <w:b/>
          <w:bCs/>
          <w:color w:val="auto"/>
          <w:sz w:val="24"/>
          <w:szCs w:val="24"/>
          <w:highlight w:val="none"/>
        </w:rPr>
      </w:pPr>
    </w:p>
    <w:p w14:paraId="3E3C360A">
      <w:pPr>
        <w:jc w:val="left"/>
        <w:rPr>
          <w:rFonts w:hint="eastAsia" w:asciiTheme="minorEastAsia" w:hAnsiTheme="minorEastAsia" w:eastAsiaTheme="minorEastAsia" w:cstheme="minorEastAsia"/>
          <w:b/>
          <w:bCs/>
          <w:color w:val="auto"/>
          <w:sz w:val="24"/>
          <w:szCs w:val="24"/>
          <w:highlight w:val="none"/>
        </w:rPr>
      </w:pPr>
    </w:p>
    <w:p w14:paraId="342ECCD9">
      <w:pPr>
        <w:jc w:val="left"/>
        <w:rPr>
          <w:rFonts w:hint="eastAsia" w:asciiTheme="minorEastAsia" w:hAnsiTheme="minorEastAsia" w:eastAsiaTheme="minorEastAsia" w:cstheme="minorEastAsia"/>
          <w:b/>
          <w:bCs/>
          <w:color w:val="auto"/>
          <w:sz w:val="24"/>
          <w:szCs w:val="24"/>
          <w:highlight w:val="none"/>
        </w:rPr>
      </w:pPr>
    </w:p>
    <w:p w14:paraId="33F335E2">
      <w:pPr>
        <w:jc w:val="left"/>
        <w:rPr>
          <w:rFonts w:hint="eastAsia" w:asciiTheme="minorEastAsia" w:hAnsiTheme="minorEastAsia" w:eastAsiaTheme="minorEastAsia" w:cstheme="minorEastAsia"/>
          <w:b/>
          <w:bCs/>
          <w:color w:val="auto"/>
          <w:sz w:val="24"/>
          <w:szCs w:val="24"/>
          <w:highlight w:val="none"/>
        </w:rPr>
      </w:pPr>
    </w:p>
    <w:p w14:paraId="60844BCB">
      <w:pPr>
        <w:jc w:val="left"/>
        <w:rPr>
          <w:rFonts w:hint="eastAsia" w:asciiTheme="minorEastAsia" w:hAnsiTheme="minorEastAsia" w:eastAsiaTheme="minorEastAsia" w:cstheme="minorEastAsia"/>
          <w:b/>
          <w:bCs/>
          <w:color w:val="auto"/>
          <w:sz w:val="24"/>
          <w:szCs w:val="24"/>
          <w:highlight w:val="none"/>
        </w:rPr>
      </w:pPr>
    </w:p>
    <w:p w14:paraId="4A4F8E96">
      <w:pPr>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）公寓椅</w:t>
      </w:r>
    </w:p>
    <w:p w14:paraId="41306851">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1.规格</w:t>
      </w:r>
      <w:r>
        <w:rPr>
          <w:rFonts w:hint="eastAsia" w:asciiTheme="minorEastAsia" w:hAnsiTheme="minorEastAsia" w:eastAsiaTheme="minorEastAsia" w:cstheme="minorEastAsia"/>
          <w:color w:val="auto"/>
          <w:kern w:val="0"/>
          <w:sz w:val="24"/>
          <w:szCs w:val="24"/>
          <w:highlight w:val="none"/>
        </w:rPr>
        <w:t>：450*550*780mm（长*深*高，±10mm）</w:t>
      </w:r>
    </w:p>
    <w:p w14:paraId="2EF41247">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2.材质要求</w:t>
      </w:r>
      <w:r>
        <w:rPr>
          <w:rFonts w:hint="eastAsia" w:asciiTheme="minorEastAsia" w:hAnsiTheme="minorEastAsia" w:eastAsiaTheme="minorEastAsia" w:cstheme="minorEastAsia"/>
          <w:color w:val="auto"/>
          <w:kern w:val="0"/>
          <w:sz w:val="24"/>
          <w:szCs w:val="24"/>
          <w:highlight w:val="none"/>
        </w:rPr>
        <w:t>：使用钢塑组合，椅架部分钢管厚度要求不小于1.2mm厚，焊接处采用满焊工艺，表面打磨光滑，无尖锐棱角，保障使用安全。座板和靠背主要材质为高密度聚乙烯，不可采用回收料，具有抗污性，油污、水渍一擦即净，支持酒精擦拭消毒。椅脚配备防滑脚套，减少移动噪音。</w:t>
      </w:r>
    </w:p>
    <w:p w14:paraId="01DC6AB5">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3.公寓椅的部件规格</w:t>
      </w:r>
      <w:r>
        <w:rPr>
          <w:rFonts w:hint="eastAsia" w:asciiTheme="minorEastAsia" w:hAnsiTheme="minorEastAsia" w:eastAsiaTheme="minorEastAsia" w:cstheme="minorEastAsia"/>
          <w:color w:val="auto"/>
          <w:kern w:val="0"/>
          <w:sz w:val="24"/>
          <w:szCs w:val="24"/>
          <w:highlight w:val="none"/>
        </w:rPr>
        <w:t>：</w:t>
      </w:r>
    </w:p>
    <w:p w14:paraId="7BAC9D1E">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3.1椅架：椅脚和靠背管都采用≥40*20*1.4mm的椭圆钢管，底座中间连接杆采用≥40*20*1.2mm的椭圆钢管。椅架框采用≥30*15*1.4mm的椭圆钢管。</w:t>
      </w:r>
    </w:p>
    <w:p w14:paraId="59681628">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3.2椅面：椅面规格：座板深度450 （±5mm）*座板宽度 415mm（±5mm）。椅面采用中空吹塑工艺一次性成型。表面皮纹处理，符合人体工程学，坐感舒适。材料为HDPE高密度聚乙烯。椅架框和椅面连接方式为椅面内嵌在椅架的U型框内。</w:t>
      </w:r>
    </w:p>
    <w:p w14:paraId="59542E9C">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3.3椅背：1.椅背靠背部分规格为靠背板宽度455mm（±5mm）*靠背板高度255mm（±5mm）。椅背用中空吹塑工艺一次性成型。表面皮纹处理，弧形结构符合人体工程学。材料为HDPE高密度聚乙烯。椅背上沿向内折边，折边处光滑圆润，没有毛刺。椅背上方具有宽度≥110mm的仿手型拉手口。椅背内插钢管为≥40*20*厚度1.4mm椭圆管。</w:t>
      </w:r>
    </w:p>
    <w:p w14:paraId="6F388F79">
      <w:pPr>
        <w:spacing w:line="480" w:lineRule="auto"/>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color w:val="auto"/>
          <w:kern w:val="0"/>
          <w:sz w:val="24"/>
          <w:szCs w:val="24"/>
          <w:highlight w:val="none"/>
        </w:rPr>
        <w:t>3.4脚套：采用前脚套、后脚垫设计，采用PP材料一次性注塑成型。</w:t>
      </w:r>
    </w:p>
    <w:p w14:paraId="1E2EF8A9">
      <w:pPr>
        <w:jc w:val="center"/>
        <w:rPr>
          <w:rFonts w:hint="eastAsia" w:asciiTheme="minorEastAsia" w:hAnsiTheme="minorEastAsia" w:eastAsiaTheme="minorEastAsia" w:cstheme="minorEastAsia"/>
          <w:b/>
          <w:bCs/>
          <w:color w:val="auto"/>
          <w:sz w:val="24"/>
          <w:szCs w:val="24"/>
          <w:highlight w:val="none"/>
        </w:rPr>
      </w:pPr>
    </w:p>
    <w:p w14:paraId="2E9A33D7">
      <w:pPr>
        <w:jc w:val="center"/>
        <w:rPr>
          <w:rFonts w:hint="eastAsia" w:asciiTheme="minorEastAsia" w:hAnsiTheme="minorEastAsia" w:eastAsiaTheme="minorEastAsia" w:cstheme="minorEastAsia"/>
          <w:b/>
          <w:bCs/>
          <w:color w:val="auto"/>
          <w:sz w:val="24"/>
          <w:szCs w:val="24"/>
          <w:highlight w:val="none"/>
        </w:rPr>
      </w:pPr>
    </w:p>
    <w:p w14:paraId="580FA6C6">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公寓椅效果图</w:t>
      </w:r>
    </w:p>
    <w:p w14:paraId="521FF91C">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686912" behindDoc="0" locked="0" layoutInCell="1" allowOverlap="1">
            <wp:simplePos x="0" y="0"/>
            <wp:positionH relativeFrom="column">
              <wp:posOffset>1518920</wp:posOffset>
            </wp:positionH>
            <wp:positionV relativeFrom="paragraph">
              <wp:posOffset>76835</wp:posOffset>
            </wp:positionV>
            <wp:extent cx="2183765" cy="2954020"/>
            <wp:effectExtent l="0" t="0" r="635" b="5080"/>
            <wp:wrapNone/>
            <wp:docPr id="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
                    <pic:cNvPicPr>
                      <a:picLocks noChangeAspect="1"/>
                    </pic:cNvPicPr>
                  </pic:nvPicPr>
                  <pic:blipFill>
                    <a:blip r:embed="rId38"/>
                    <a:stretch>
                      <a:fillRect/>
                    </a:stretch>
                  </pic:blipFill>
                  <pic:spPr>
                    <a:xfrm>
                      <a:off x="0" y="0"/>
                      <a:ext cx="2183765" cy="2954020"/>
                    </a:xfrm>
                    <a:prstGeom prst="rect">
                      <a:avLst/>
                    </a:prstGeom>
                    <a:noFill/>
                    <a:ln>
                      <a:noFill/>
                    </a:ln>
                  </pic:spPr>
                </pic:pic>
              </a:graphicData>
            </a:graphic>
          </wp:anchor>
        </w:drawing>
      </w:r>
    </w:p>
    <w:p w14:paraId="3719917C">
      <w:pPr>
        <w:rPr>
          <w:rFonts w:hint="eastAsia" w:asciiTheme="minorEastAsia" w:hAnsiTheme="minorEastAsia" w:eastAsiaTheme="minorEastAsia" w:cstheme="minorEastAsia"/>
          <w:color w:val="auto"/>
          <w:sz w:val="24"/>
          <w:szCs w:val="24"/>
          <w:highlight w:val="none"/>
        </w:rPr>
      </w:pPr>
    </w:p>
    <w:p w14:paraId="155DAD7F">
      <w:pPr>
        <w:rPr>
          <w:rFonts w:hint="eastAsia" w:asciiTheme="minorEastAsia" w:hAnsiTheme="minorEastAsia" w:eastAsiaTheme="minorEastAsia" w:cstheme="minorEastAsia"/>
          <w:color w:val="auto"/>
          <w:sz w:val="24"/>
          <w:szCs w:val="24"/>
          <w:highlight w:val="none"/>
        </w:rPr>
      </w:pPr>
    </w:p>
    <w:p w14:paraId="15E20218">
      <w:pPr>
        <w:rPr>
          <w:rFonts w:hint="eastAsia" w:asciiTheme="minorEastAsia" w:hAnsiTheme="minorEastAsia" w:eastAsiaTheme="minorEastAsia" w:cstheme="minorEastAsia"/>
          <w:color w:val="auto"/>
          <w:sz w:val="24"/>
          <w:szCs w:val="24"/>
          <w:highlight w:val="none"/>
        </w:rPr>
      </w:pPr>
    </w:p>
    <w:p w14:paraId="4871B783">
      <w:pPr>
        <w:rPr>
          <w:rFonts w:hint="eastAsia" w:asciiTheme="minorEastAsia" w:hAnsiTheme="minorEastAsia" w:eastAsiaTheme="minorEastAsia" w:cstheme="minorEastAsia"/>
          <w:color w:val="auto"/>
          <w:sz w:val="24"/>
          <w:szCs w:val="24"/>
          <w:highlight w:val="none"/>
        </w:rPr>
      </w:pPr>
    </w:p>
    <w:p w14:paraId="4E7CBF81">
      <w:pPr>
        <w:rPr>
          <w:rFonts w:hint="eastAsia" w:asciiTheme="minorEastAsia" w:hAnsiTheme="minorEastAsia" w:eastAsiaTheme="minorEastAsia" w:cstheme="minorEastAsia"/>
          <w:color w:val="auto"/>
          <w:sz w:val="24"/>
          <w:szCs w:val="24"/>
          <w:highlight w:val="none"/>
        </w:rPr>
      </w:pPr>
    </w:p>
    <w:p w14:paraId="26AD3177">
      <w:pPr>
        <w:rPr>
          <w:rFonts w:hint="eastAsia" w:asciiTheme="minorEastAsia" w:hAnsiTheme="minorEastAsia" w:eastAsiaTheme="minorEastAsia" w:cstheme="minorEastAsia"/>
          <w:color w:val="auto"/>
          <w:sz w:val="24"/>
          <w:szCs w:val="24"/>
          <w:highlight w:val="none"/>
        </w:rPr>
      </w:pPr>
    </w:p>
    <w:p w14:paraId="1BFA0E9D">
      <w:pPr>
        <w:rPr>
          <w:rFonts w:hint="eastAsia" w:asciiTheme="minorEastAsia" w:hAnsiTheme="minorEastAsia" w:eastAsiaTheme="minorEastAsia" w:cstheme="minorEastAsia"/>
          <w:color w:val="auto"/>
          <w:sz w:val="24"/>
          <w:szCs w:val="24"/>
          <w:highlight w:val="none"/>
        </w:rPr>
      </w:pPr>
    </w:p>
    <w:p w14:paraId="752F6EAD">
      <w:pPr>
        <w:rPr>
          <w:rFonts w:hint="eastAsia" w:asciiTheme="minorEastAsia" w:hAnsiTheme="minorEastAsia" w:eastAsiaTheme="minorEastAsia" w:cstheme="minorEastAsia"/>
          <w:color w:val="auto"/>
          <w:sz w:val="24"/>
          <w:szCs w:val="24"/>
          <w:highlight w:val="none"/>
        </w:rPr>
      </w:pPr>
    </w:p>
    <w:p w14:paraId="0547B88E">
      <w:pPr>
        <w:rPr>
          <w:rFonts w:hint="eastAsia" w:asciiTheme="minorEastAsia" w:hAnsiTheme="minorEastAsia" w:eastAsiaTheme="minorEastAsia" w:cstheme="minorEastAsia"/>
          <w:color w:val="auto"/>
          <w:sz w:val="24"/>
          <w:szCs w:val="24"/>
          <w:highlight w:val="none"/>
        </w:rPr>
      </w:pPr>
    </w:p>
    <w:p w14:paraId="330BF0A1">
      <w:pPr>
        <w:rPr>
          <w:rFonts w:hint="eastAsia" w:asciiTheme="minorEastAsia" w:hAnsiTheme="minorEastAsia" w:eastAsiaTheme="minorEastAsia" w:cstheme="minorEastAsia"/>
          <w:color w:val="auto"/>
          <w:sz w:val="24"/>
          <w:szCs w:val="24"/>
          <w:highlight w:val="none"/>
        </w:rPr>
      </w:pPr>
    </w:p>
    <w:p w14:paraId="6D48C678">
      <w:pPr>
        <w:rPr>
          <w:rFonts w:hint="eastAsia" w:asciiTheme="minorEastAsia" w:hAnsiTheme="minorEastAsia" w:eastAsiaTheme="minorEastAsia" w:cstheme="minorEastAsia"/>
          <w:color w:val="auto"/>
          <w:sz w:val="24"/>
          <w:szCs w:val="24"/>
          <w:highlight w:val="none"/>
        </w:rPr>
      </w:pPr>
    </w:p>
    <w:p w14:paraId="2D3BFBB6">
      <w:pPr>
        <w:rPr>
          <w:rFonts w:hint="eastAsia" w:asciiTheme="minorEastAsia" w:hAnsiTheme="minorEastAsia" w:eastAsiaTheme="minorEastAsia" w:cstheme="minorEastAsia"/>
          <w:color w:val="auto"/>
          <w:sz w:val="24"/>
          <w:szCs w:val="24"/>
          <w:highlight w:val="none"/>
        </w:rPr>
      </w:pPr>
    </w:p>
    <w:p w14:paraId="0A2C107A">
      <w:pPr>
        <w:rPr>
          <w:rFonts w:hint="eastAsia" w:asciiTheme="minorEastAsia" w:hAnsiTheme="minorEastAsia" w:eastAsiaTheme="minorEastAsia" w:cstheme="minorEastAsia"/>
          <w:color w:val="auto"/>
          <w:sz w:val="24"/>
          <w:szCs w:val="24"/>
          <w:highlight w:val="none"/>
        </w:rPr>
      </w:pPr>
    </w:p>
    <w:p w14:paraId="6C86585B">
      <w:pPr>
        <w:spacing w:line="480" w:lineRule="auto"/>
        <w:jc w:val="left"/>
        <w:rPr>
          <w:rFonts w:hint="eastAsia" w:asciiTheme="minorEastAsia" w:hAnsiTheme="minorEastAsia" w:eastAsiaTheme="minorEastAsia" w:cstheme="minorEastAsia"/>
          <w:b/>
          <w:bCs/>
          <w:color w:val="auto"/>
          <w:sz w:val="24"/>
          <w:szCs w:val="24"/>
          <w:highlight w:val="none"/>
        </w:rPr>
      </w:pPr>
    </w:p>
    <w:p w14:paraId="27CFF212">
      <w:pPr>
        <w:rPr>
          <w:rFonts w:hint="eastAsia" w:asciiTheme="minorEastAsia" w:hAnsiTheme="minorEastAsia" w:eastAsiaTheme="minorEastAsia" w:cstheme="minorEastAsia"/>
          <w:color w:val="auto"/>
          <w:sz w:val="24"/>
          <w:szCs w:val="24"/>
          <w:highlight w:val="none"/>
        </w:rPr>
      </w:pPr>
    </w:p>
    <w:p w14:paraId="59A146BA">
      <w:pPr>
        <w:rPr>
          <w:rFonts w:hint="eastAsia" w:asciiTheme="minorEastAsia" w:hAnsiTheme="minorEastAsia" w:eastAsiaTheme="minorEastAsia" w:cstheme="minorEastAsia"/>
          <w:color w:val="auto"/>
          <w:sz w:val="24"/>
          <w:szCs w:val="24"/>
          <w:highlight w:val="none"/>
        </w:rPr>
      </w:pPr>
    </w:p>
    <w:p w14:paraId="196C13C6">
      <w:pPr>
        <w:rPr>
          <w:rFonts w:hint="eastAsia" w:asciiTheme="minorEastAsia" w:hAnsiTheme="minorEastAsia" w:eastAsiaTheme="minorEastAsia" w:cstheme="minorEastAsia"/>
          <w:color w:val="auto"/>
          <w:sz w:val="24"/>
          <w:szCs w:val="24"/>
          <w:highlight w:val="none"/>
        </w:rPr>
      </w:pPr>
    </w:p>
    <w:p w14:paraId="4CAA9A8D">
      <w:pPr>
        <w:rPr>
          <w:rFonts w:hint="eastAsia" w:asciiTheme="minorEastAsia" w:hAnsiTheme="minorEastAsia" w:eastAsiaTheme="minorEastAsia" w:cstheme="minorEastAsia"/>
          <w:color w:val="auto"/>
          <w:sz w:val="24"/>
          <w:szCs w:val="24"/>
          <w:highlight w:val="none"/>
        </w:rPr>
      </w:pPr>
    </w:p>
    <w:p w14:paraId="481F18C5">
      <w:pPr>
        <w:rPr>
          <w:rFonts w:hint="eastAsia" w:asciiTheme="minorEastAsia" w:hAnsiTheme="minorEastAsia" w:eastAsiaTheme="minorEastAsia" w:cstheme="minorEastAsia"/>
          <w:color w:val="auto"/>
          <w:sz w:val="24"/>
          <w:szCs w:val="24"/>
          <w:highlight w:val="none"/>
        </w:rPr>
      </w:pPr>
    </w:p>
    <w:p w14:paraId="71CFB152">
      <w:pPr>
        <w:rPr>
          <w:rFonts w:hint="eastAsia" w:asciiTheme="minorEastAsia" w:hAnsiTheme="minorEastAsia" w:eastAsiaTheme="minorEastAsia" w:cstheme="minorEastAsia"/>
          <w:color w:val="auto"/>
          <w:sz w:val="24"/>
          <w:szCs w:val="24"/>
          <w:highlight w:val="none"/>
        </w:rPr>
      </w:pPr>
    </w:p>
    <w:p w14:paraId="42867DCD">
      <w:pPr>
        <w:rPr>
          <w:rFonts w:hint="eastAsia" w:asciiTheme="minorEastAsia" w:hAnsiTheme="minorEastAsia" w:eastAsiaTheme="minorEastAsia" w:cstheme="minorEastAsia"/>
          <w:color w:val="auto"/>
          <w:sz w:val="24"/>
          <w:szCs w:val="24"/>
          <w:highlight w:val="none"/>
        </w:rPr>
      </w:pPr>
    </w:p>
    <w:p w14:paraId="6D64A9D5">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sz w:val="24"/>
          <w:szCs w:val="24"/>
          <w:highlight w:val="none"/>
          <w:lang w:val="en-US" w:eastAsia="zh-CN"/>
        </w:rPr>
        <w:t>五</w:t>
      </w:r>
      <w:r>
        <w:rPr>
          <w:rFonts w:hint="eastAsia" w:asciiTheme="minorEastAsia" w:hAnsiTheme="minorEastAsia" w:eastAsiaTheme="minorEastAsia" w:cstheme="minorEastAsia"/>
          <w:b/>
          <w:bCs/>
          <w:color w:val="auto"/>
          <w:sz w:val="24"/>
          <w:szCs w:val="24"/>
          <w:highlight w:val="none"/>
        </w:rPr>
        <w:t>）其它要求</w:t>
      </w:r>
    </w:p>
    <w:p w14:paraId="737C1F4C">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投标人所投“组合式公寓床(含铁床、书桌、衣柜)”,提供由第三方检测机构出具的抽样检验检测报告，检测项目内容至少包含以下项目:①主要尺寸及偏差，形状和位置公差，外观性能：金属件-管材、电镀件、焊接件、冲压件、喷漆（塑）涂层、合金件等其他金属件检验结果均符合要求；②理化性能：金属喷漆（塑）涂层-硬度、冲击强度、耐盐浴100h、附着力达到0级；③力学性能：床类、扶梯、安全栏、桌类稳定性、柜架类稳定性，品质属性：产品寿命-桌类桌面水平耐久性、床类床结构耐久性、柜类拉门耐久性；④燃烧性能；⑤产品有害物质（甲醛释放量（气候箱法）≦0.05mg/m³，苯、甲苯、二甲苯、总挥发性有机化合物TVOC）检验为合格，家具涂层可迁移元素（铅、镉、铬、汞、锑、钡、硒、砷）检验为合格，家具中其他有害物质限量：邻苯二甲酸酯、多环芳烃未检出；⑥安全性能：结构安全。</w:t>
      </w:r>
    </w:p>
    <w:p w14:paraId="6C6929F7">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5197A25F">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投标人所投货物所使用的“杉木床铺板”,提供由第三方检测机构出具的抽样检验检测报告，检测项目内容至少包含以下项目:①外观要求：木材-贯通裂缝、虫蛀、腐朽材、树脂囊、节子、死节、孔洞、夹皮和树脂道、树胶道、其他轻微材质缺陷检验结果均符合要求，木工要求（板件或部件在接触人体或贮物部位不应有毛刺、刃口或棱角；板件或部件的外表应光滑，倒棱、圆角、圆线应均匀一致）检验结果符合要求； ②甲醛释放量（1m³气候箱法）未检出，家具涂层可迁移元素（铅、汞、铬、镉、锑、钡、硒、砷），苯，甲苯，二甲苯，总挥发性有机化合物（TVOC),五氯苯酚检验结果都为合格；③木材含水率≤9%。</w:t>
      </w:r>
    </w:p>
    <w:p w14:paraId="2CD41D17">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4F711BC1">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投标人所投货物所使用的“公寓椅”,提供由第三方检测机构出具的抽样检验检测报告，检测项目内容至少包含以下项目:①形状和位置公差：底脚着地平稳性≤1mm，外观性能：金属件外观性能-管材、焊接件、喷漆（塑）涂层，安全性能：结构安全； ②理化性能：金属喷漆（塑）涂层-硬度、冲击强度、耐盐浴100h、附着力； ③力学性能：椅凳类强度和耐久性，④耐腐蚀试验：中性盐雾试验（NSS）法18h涂层本身的耐腐蚀等级达到10级、中性盐雾试验（NSS）法18h涂层对基体的保护等级达到10级；⑤燃烧性能符合GB 8624-2012要求检验为合格；⑥产品有害物质：甲醛释放量（气候箱法）未检出，产品有害物质（苯，甲苯，二甲苯，总挥发性有机化合物（TVOC）)检验为合格，家具涂层可迁移元素（铅、镉、铬、汞、锑、钡、硒、砷）检验为合格，家具中其他有害物质限量：邻苯二甲酸酯未检出。</w:t>
      </w:r>
    </w:p>
    <w:p w14:paraId="79F587C0">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2EAA6BE9">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投标人所投货物所使用的部件及原辅料“塑粉”,提供由第三方检测机构出具的抽样检验检测报告，检测项目内容至少包含以下项目:①抗霉菌性能；②抗细菌性能；③附着力达到0级，耐酸性3%盐酸溶液240h无异常，耐碱性，耐盐雾性（中性盐雾：大于等于300h划痕处单向腐蚀蔓延宽度小于2.0mm，未划痕区无起泡、生锈、开裂、剥落等异常现象），耐人工气候老化性；④流动性；⑤铅笔硬度≥3H；</w:t>
      </w:r>
    </w:p>
    <w:p w14:paraId="2E91E9B2">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26A5C487">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投标人所投货物所使用的部件及原辅料“封边条”,提供由第三方检测机构出具的抽样检验检测报告，检测项目内容至少包含以下项目:①抗菌性能：抗菌活性值大肠杆菌≥2，抗菌率大肠杆菌≥99%；②防霉性能：防霉等级-出芽短梗霉达到0级；③理化性能：耐干热性、耐磨性、耐开裂性、耐老化性、耐冷热循环性；④有害物质限量：甲醛释放量，氯乙烯单体，可迁移元素：可溶性重金属-铅、镉、铬、汞、砷、钡、锑、硒检验结果均为未检出；</w:t>
      </w:r>
    </w:p>
    <w:p w14:paraId="4B122CC3">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4F5DC6C7">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投标人所投货物所使用的部件及原辅料“钢管”,提供由第三方检测机构出具的抽样检验检测报告，检测项目内容至少包含以下项目:①中性盐雾试验（NSS）法连续喷雾18h：涂层本身的耐腐蚀等级≥10级、涂层对基体的保护等级≥10级；②外观性能：金属件-喷漆（塑）涂层（应无漏喷、锈蚀、脱色、掉色等，应光滑均匀，色泽一致，应无流挂、疙瘩、皱皮、飞漆等）；③产品表面理化性能：金属喷漆（塑）涂层-硬度、冲击强度（冲击高度400mm，应无剥落、裂纹、皱纹）、附着力达到1级、耐盐浴（试验时间100h）；④拉伸性能：抗拉强度≥420MPa，断后伸长率≥32%；⑤力学性能：规定塑性延伸强度≥265MPa；</w:t>
      </w:r>
    </w:p>
    <w:p w14:paraId="58C966AE">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5DF35859">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7、投标人所投货物所使用的部件及原辅料“导轨（三节导轨）”,提供由第三方检测机构出具的抽样检验检测报告，检测项目内容至少包含以下项目:①外观性能：金属件-冲压件应无脱层、裂缝；②表面理化性能：金属喷漆（塑）涂层-冲击强度；③过载：猛关或猛开；④耐腐蚀；⑤功能：耐久性、垂直向下静载荷、水平侧向静载荷、拉出安全性、下沉量；</w:t>
      </w:r>
    </w:p>
    <w:p w14:paraId="4D5FDACC">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3CAE91FC">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8、投标人所投货物所使用的部件及原辅料“塑料部件（PP塑料）”,提供由第三方检测机构出具的抽样检验检测报告，检测项目内容至少包含以下项目:①抗菌性能：金黄色葡萄球菌抑菌率≥97%；②防霉性能：黄曲霉防霉等级达到0级；</w:t>
      </w:r>
    </w:p>
    <w:p w14:paraId="27065BE8">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63319CEA">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9、投标人所投货物所使用的部件及原辅料“中密度纤维板”,提供由第三方检测机构出具的抽样检验检测报告，检测项目内容至少包含以下项目:①甲醛释放量（气候箱法）≦0.05mg/m³； ②抗菌性能：金黄色葡萄球菌、大肠埃希氏菌、表皮葡萄球菌、白色念珠菌、变化考克氏菌的抑菌率≥99%； ③外观质量；④表面吸收性能；⑤燃烧性能。</w:t>
      </w:r>
    </w:p>
    <w:p w14:paraId="2334575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55875349">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10、投标人所投货物所使用的部件及原辅料“三合一偏心连接件”,提供由第三方检测机构出具的抽样检验检测报告，检测项目内容至少包含以下项目:①耐腐蚀：乙酸盐雾试验（ASS）法-连续喷雾120h耐腐蚀等级达到10级；②外观：金属件表面应无锈蚀、毛刺刃口、露底，应光滑平整，应无起泡、泛黄、花斑、烧焦、裂纹、划痕、磕碰伤等缺陷，检验结果符合要求；③外观性能：金属件-电镀件；④力学性能：三合一偏心连接件偏心体抗压强度≥335N，三合一偏心连接件预埋螺母抗拉强度≥700N，三合一偏心连接件中连接螺杆螺纹与预埋螺母的抗拉强度≥800N。</w:t>
      </w:r>
    </w:p>
    <w:p w14:paraId="2E20DEDD">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3F5E56D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11、投标人所投货物所使用的部件及原辅料“床梯踏板”,提供由第三方检测机构出具的抽样检验检测报告，检测项目内容至少包含以下项目:①外观性能：金属件-冲压件、喷漆（塑）涂层、管材、焊接件，以上检验结果均符合要求；②表面理化性能：金属喷漆（塑）涂层-硬度、冲击强度、耐盐浴、附着力。</w:t>
      </w:r>
    </w:p>
    <w:p w14:paraId="37A9D044">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29D1A0F0">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12、投标人所投货物所使用的部件及原辅料“热熔胶”,提供由第三方检测机构出具的抽样检验检测报告，检测项目内容至少包含以下项目:①本体型胶粘剂有害物质限量值：总挥发性有机物≤5g/L。</w:t>
      </w:r>
    </w:p>
    <w:p w14:paraId="0356E18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29AD1133">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13、投标人具有：冷弯成型机、剪板机、粉体喷涂（喷塑）生产线、焊接机器人设备、液压折弯机、全自动数控板材开料锯、左式或右式直线封边机、6排钻机、数控钻孔中心、加工中心。</w:t>
      </w:r>
    </w:p>
    <w:p w14:paraId="39CA5FC0">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14</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生产过程对接：在生产过程中，定期向学校提交生产进度报告，包括生产数量、质量检验结果、原材料使用情况等；学校对生产过程进行初期、中期及终期全过程监督管理，可随时抽查产品质量和生产工艺。</w:t>
      </w:r>
    </w:p>
    <w:p w14:paraId="75DC8A76">
      <w:pPr>
        <w:tabs>
          <w:tab w:val="left" w:pos="5130"/>
        </w:tabs>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15</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安全环保标准：甲醛释放量应符合E0级标准（≤0.05mg/㎥），所有材料应符合国家环保标准。生产厂家需提供检测报告，包括原材料检测报告、成品检测报告、环保检测报告等。</w:t>
      </w:r>
    </w:p>
    <w:p w14:paraId="4A33AE8F">
      <w:pPr>
        <w:tabs>
          <w:tab w:val="left" w:pos="5130"/>
        </w:tabs>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16、</w:t>
      </w:r>
      <w:r>
        <w:rPr>
          <w:rFonts w:hint="eastAsia" w:asciiTheme="minorEastAsia" w:hAnsiTheme="minorEastAsia" w:eastAsiaTheme="minorEastAsia" w:cstheme="minorEastAsia"/>
          <w:color w:val="auto"/>
          <w:sz w:val="24"/>
          <w:szCs w:val="24"/>
          <w:highlight w:val="none"/>
        </w:rPr>
        <w:t>六间无障碍间的家具：由中标供应商从学校仓库运输及安装至六期学生公寓的无障碍间。</w:t>
      </w:r>
    </w:p>
    <w:p w14:paraId="2A251539">
      <w:pPr>
        <w:tabs>
          <w:tab w:val="left" w:pos="5130"/>
        </w:tabs>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17、</w:t>
      </w:r>
      <w:r>
        <w:rPr>
          <w:rFonts w:hint="eastAsia" w:asciiTheme="minorEastAsia" w:hAnsiTheme="minorEastAsia" w:eastAsiaTheme="minorEastAsia" w:cstheme="minorEastAsia"/>
          <w:color w:val="auto"/>
          <w:sz w:val="24"/>
          <w:szCs w:val="24"/>
          <w:highlight w:val="none"/>
        </w:rPr>
        <w:t>所投产品的颜色由</w:t>
      </w:r>
      <w:r>
        <w:rPr>
          <w:rFonts w:hint="default" w:asciiTheme="minorEastAsia" w:hAnsiTheme="minorEastAsia" w:eastAsiaTheme="minorEastAsia" w:cstheme="minorEastAsia"/>
          <w:color w:val="auto"/>
          <w:sz w:val="24"/>
          <w:szCs w:val="24"/>
          <w:highlight w:val="none"/>
        </w:rPr>
        <w:t>使用单位</w:t>
      </w:r>
      <w:r>
        <w:rPr>
          <w:rFonts w:hint="eastAsia" w:asciiTheme="minorEastAsia" w:hAnsiTheme="minorEastAsia" w:eastAsiaTheme="minorEastAsia" w:cstheme="minorEastAsia"/>
          <w:color w:val="auto"/>
          <w:sz w:val="24"/>
          <w:szCs w:val="24"/>
          <w:highlight w:val="none"/>
        </w:rPr>
        <w:t>以书面形式确认为准，供应商须按</w:t>
      </w:r>
      <w:r>
        <w:rPr>
          <w:rFonts w:hint="default" w:asciiTheme="minorEastAsia" w:hAnsiTheme="minorEastAsia" w:eastAsiaTheme="minorEastAsia" w:cstheme="minorEastAsia"/>
          <w:color w:val="auto"/>
          <w:sz w:val="24"/>
          <w:szCs w:val="24"/>
          <w:highlight w:val="none"/>
        </w:rPr>
        <w:t>使用单位</w:t>
      </w:r>
      <w:r>
        <w:rPr>
          <w:rFonts w:hint="eastAsia" w:asciiTheme="minorEastAsia" w:hAnsiTheme="minorEastAsia" w:eastAsiaTheme="minorEastAsia" w:cstheme="minorEastAsia"/>
          <w:color w:val="auto"/>
          <w:sz w:val="24"/>
          <w:szCs w:val="24"/>
          <w:highlight w:val="none"/>
        </w:rPr>
        <w:t>确认的颜色组织生产和供货，相关费用已包含在投标报价中，不再另行调整。</w:t>
      </w:r>
    </w:p>
    <w:p w14:paraId="3ADE6DDC">
      <w:pPr>
        <w:tabs>
          <w:tab w:val="left" w:pos="5130"/>
        </w:tabs>
        <w:ind w:firstLine="480" w:firstLineChars="200"/>
        <w:rPr>
          <w:rFonts w:hint="eastAsia" w:asciiTheme="minorEastAsia" w:hAnsiTheme="minorEastAsia" w:eastAsiaTheme="minorEastAsia" w:cstheme="minorEastAsia"/>
          <w:color w:val="auto"/>
          <w:sz w:val="24"/>
          <w:szCs w:val="24"/>
          <w:highlight w:val="none"/>
        </w:rPr>
      </w:pPr>
    </w:p>
    <w:p w14:paraId="553AE5DD">
      <w:pP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备注：“</w:t>
      </w:r>
      <w:r>
        <w:rPr>
          <w:rFonts w:hint="eastAsia" w:asciiTheme="minorEastAsia" w:hAnsiTheme="minorEastAsia" w:eastAsiaTheme="minorEastAsia" w:cstheme="minorEastAsia"/>
          <w:b/>
          <w:color w:val="auto"/>
          <w:sz w:val="24"/>
          <w:szCs w:val="24"/>
          <w:highlight w:val="none"/>
        </w:rPr>
        <w:t>一、项目概况及技术要求</w:t>
      </w:r>
      <w:r>
        <w:rPr>
          <w:rFonts w:hint="eastAsia" w:asciiTheme="minorEastAsia" w:hAnsiTheme="minorEastAsia" w:eastAsiaTheme="minorEastAsia" w:cstheme="minorEastAsia"/>
          <w:b/>
          <w:bCs/>
          <w:color w:val="auto"/>
          <w:sz w:val="24"/>
          <w:szCs w:val="24"/>
          <w:highlight w:val="none"/>
        </w:rPr>
        <w:t>”中所描述产品的规格尺寸，没有幅度要求的，允许正负偏离0.5%以内。</w:t>
      </w:r>
    </w:p>
    <w:p w14:paraId="3B220A30">
      <w:pPr>
        <w:spacing w:line="360" w:lineRule="auto"/>
        <w:ind w:right="28"/>
        <w:jc w:val="left"/>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二、采购要求</w:t>
      </w:r>
    </w:p>
    <w:p w14:paraId="0B170AE3">
      <w:pPr>
        <w:spacing w:line="360" w:lineRule="auto"/>
        <w:ind w:firstLine="480" w:firstLineChars="200"/>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1．中标供应商生产前提供具体图纸供使用单位确认方可生产，价格不得调整。</w:t>
      </w:r>
    </w:p>
    <w:p w14:paraId="3ED524DE">
      <w:pPr>
        <w:spacing w:line="360" w:lineRule="auto"/>
        <w:ind w:firstLine="480" w:firstLineChars="200"/>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2．投标人应严格按照招标文件的规格、数量、技术及材质等要求进行报价。</w:t>
      </w:r>
    </w:p>
    <w:p w14:paraId="07E08101">
      <w:pPr>
        <w:spacing w:line="360" w:lineRule="auto"/>
        <w:ind w:firstLine="480" w:firstLineChars="200"/>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z w:val="24"/>
          <w:szCs w:val="24"/>
          <w:highlight w:val="none"/>
        </w:rPr>
        <w:t>3．投标人应在投标文件中提供主要生产设备清单（需提供主要生产加工设备、产地、数量、价值）。</w:t>
      </w:r>
    </w:p>
    <w:p w14:paraId="3EA3527F">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4．投标人应在投标文件中提供质量管理、技术力量说明（主要生产技术骨干、质管人员的数量和职称）。</w:t>
      </w:r>
    </w:p>
    <w:p w14:paraId="66FCB7B9">
      <w:pPr>
        <w:pStyle w:val="11"/>
        <w:spacing w:before="0" w:beforeAutospacing="0" w:after="0" w:afterAutospacing="0" w:line="360" w:lineRule="auto"/>
        <w:ind w:firstLine="480" w:firstLineChars="200"/>
        <w:rPr>
          <w:rFonts w:hint="eastAsia" w:asciiTheme="minorEastAsia" w:hAnsiTheme="minorEastAsia" w:eastAsiaTheme="minorEastAsia" w:cstheme="minorEastAsia"/>
          <w:color w:val="auto"/>
          <w:kern w:val="2"/>
          <w:highlight w:val="none"/>
        </w:rPr>
      </w:pPr>
      <w:r>
        <w:rPr>
          <w:rFonts w:hint="eastAsia" w:asciiTheme="minorEastAsia" w:hAnsiTheme="minorEastAsia" w:eastAsiaTheme="minorEastAsia" w:cstheme="minorEastAsia"/>
          <w:color w:val="auto"/>
          <w:kern w:val="2"/>
          <w:highlight w:val="none"/>
          <w:lang w:bidi="ar"/>
        </w:rPr>
        <w:t>5．投标人应根据国家标准《人造板及其制品中甲醛释放限量》、《木家具通用技术条件》、《金属家具通用技术条件》、《民用建筑工程室内环境污染控制标准》、《绿色产品评价家具标准》、《通用软质聚醚型聚氨酯泡沫塑料》《家具中有害物质限量》、《家具结构安全技术规范》、《室内装饰装修材料 人造板及其制品中甲醛释放限量》其他国家及行业标准制作（上述标准若有更新，则以更新后的国家和部门标准执行），并在设计方案中详细说明家具的材料构成及辅材、配件(如材质、质量标准、厚度、产地、品牌、型号等)。</w:t>
      </w:r>
    </w:p>
    <w:p w14:paraId="567C139D">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6．投标人需在投标文件中提供上述货物的效果图、生产分解图、货物选用材料的说明文件。</w:t>
      </w:r>
    </w:p>
    <w:p w14:paraId="724728C2">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7．投标人需将以上货物的参考指标与所投货物的技术指标、参数，在投标文件中分别列出，一一对应。</w:t>
      </w:r>
    </w:p>
    <w:p w14:paraId="04F9FFBC">
      <w:pPr>
        <w:spacing w:line="360" w:lineRule="auto"/>
        <w:ind w:firstLine="482"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8、样品要求</w:t>
      </w:r>
    </w:p>
    <w:p w14:paraId="04208A9B">
      <w:pPr>
        <w:ind w:firstLine="480"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8.1、投标人在递交投标文件时应提供以下样品（详见：8.2样品清单）。投标人提供的样品须为全新的产品，禁止使用废旧产品及3D打印、NC加工产品。</w:t>
      </w:r>
    </w:p>
    <w:p w14:paraId="52B73876">
      <w:pPr>
        <w:ind w:firstLine="482"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8.2、样品清单</w:t>
      </w:r>
    </w:p>
    <w:tbl>
      <w:tblPr>
        <w:tblStyle w:val="14"/>
        <w:tblpPr w:leftFromText="180" w:rightFromText="180" w:vertAnchor="text" w:horzAnchor="page" w:tblpX="1013" w:tblpY="306"/>
        <w:tblOverlap w:val="never"/>
        <w:tblW w:w="102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119"/>
        <w:gridCol w:w="5216"/>
        <w:gridCol w:w="2111"/>
        <w:gridCol w:w="1165"/>
      </w:tblGrid>
      <w:tr w14:paraId="5A3D6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82" w:type="dxa"/>
            <w:vAlign w:val="center"/>
          </w:tcPr>
          <w:p w14:paraId="1AD6C912">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序号</w:t>
            </w:r>
          </w:p>
        </w:tc>
        <w:tc>
          <w:tcPr>
            <w:tcW w:w="1119" w:type="dxa"/>
            <w:vAlign w:val="center"/>
          </w:tcPr>
          <w:p w14:paraId="70E6EF25">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样品名称</w:t>
            </w:r>
          </w:p>
        </w:tc>
        <w:tc>
          <w:tcPr>
            <w:tcW w:w="5216" w:type="dxa"/>
            <w:vAlign w:val="center"/>
          </w:tcPr>
          <w:p w14:paraId="679BC6F4">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样品制作要求</w:t>
            </w:r>
          </w:p>
        </w:tc>
        <w:tc>
          <w:tcPr>
            <w:tcW w:w="2111" w:type="dxa"/>
            <w:vAlign w:val="center"/>
          </w:tcPr>
          <w:p w14:paraId="0CFD869E">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规格尺寸</w:t>
            </w:r>
          </w:p>
        </w:tc>
        <w:tc>
          <w:tcPr>
            <w:tcW w:w="1165" w:type="dxa"/>
            <w:vAlign w:val="center"/>
          </w:tcPr>
          <w:p w14:paraId="1B4F92E7">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数量</w:t>
            </w:r>
          </w:p>
        </w:tc>
      </w:tr>
      <w:tr w14:paraId="60494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6832CB33">
            <w:pPr>
              <w:pStyle w:val="11"/>
              <w:spacing w:after="150" w:line="293" w:lineRule="atLeast"/>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color w:val="auto"/>
                <w:highlight w:val="none"/>
              </w:rPr>
              <w:t>1</w:t>
            </w:r>
          </w:p>
        </w:tc>
        <w:tc>
          <w:tcPr>
            <w:tcW w:w="1119" w:type="dxa"/>
            <w:vAlign w:val="center"/>
          </w:tcPr>
          <w:p w14:paraId="221C2160">
            <w:pPr>
              <w:pStyle w:val="11"/>
              <w:spacing w:after="150"/>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kern w:val="2"/>
                <w:highlight w:val="none"/>
              </w:rPr>
              <w:t>立柱</w:t>
            </w:r>
          </w:p>
        </w:tc>
        <w:tc>
          <w:tcPr>
            <w:tcW w:w="5216" w:type="dxa"/>
            <w:vAlign w:val="center"/>
          </w:tcPr>
          <w:p w14:paraId="6E772567">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立柱选用</w:t>
            </w:r>
            <w:r>
              <w:rPr>
                <w:rFonts w:hint="eastAsia" w:asciiTheme="minorEastAsia" w:hAnsiTheme="minorEastAsia" w:eastAsiaTheme="minorEastAsia" w:cstheme="minorEastAsia"/>
                <w:b/>
                <w:bCs/>
                <w:color w:val="auto"/>
                <w:sz w:val="24"/>
                <w:szCs w:val="24"/>
                <w:highlight w:val="none"/>
                <w:lang w:eastAsia="zh-CN"/>
              </w:rPr>
              <w:t>冷轧钢板</w:t>
            </w:r>
            <w:r>
              <w:rPr>
                <w:rFonts w:hint="eastAsia" w:asciiTheme="minorEastAsia" w:hAnsiTheme="minorEastAsia" w:eastAsiaTheme="minorEastAsia" w:cstheme="minorEastAsia"/>
                <w:b/>
                <w:bCs/>
                <w:color w:val="auto"/>
                <w:sz w:val="24"/>
                <w:szCs w:val="24"/>
                <w:highlight w:val="none"/>
              </w:rPr>
              <w:t>经成型机一次轧制而成的开口异型材，立柱必须做到里外双面喷塑，开口处有两道向内折弯以增强立柱的强度；成型后立面尺寸为72mm（±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mm）*72mm（±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mm）*厚度≧1.2mm，两侧立柱正面中间一面有2股由外向内凸进，达到加强硬度作用。</w:t>
            </w:r>
          </w:p>
          <w:p w14:paraId="4DFFFEA7">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床立柱示意图：</w:t>
            </w:r>
          </w:p>
          <w:p w14:paraId="48939D77">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投标人在递交投标文件时应提供以上样品，提供的样品不符合招标内容要求的参数尺寸、结构、外观造型或提供样品不齐全的，按无效投标处理</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投标人提供的样品须为全新的产品，禁止使用废旧产品及3D打印、NC加工产品</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。产品中有尺寸要求但未明确尺寸偏离值的，均要求其尺寸的偏离值不超过</w:t>
            </w:r>
            <w:r>
              <w:rPr>
                <w:rFonts w:hint="eastAsia" w:asciiTheme="minorEastAsia" w:hAnsiTheme="minorEastAsia" w:eastAsiaTheme="minorEastAsia" w:cstheme="minorEastAsia"/>
                <w:b/>
                <w:bCs/>
                <w:color w:val="auto"/>
                <w:sz w:val="24"/>
                <w:szCs w:val="24"/>
                <w:highlight w:val="none"/>
                <w:lang w:val="en-US" w:eastAsia="zh-CN"/>
              </w:rPr>
              <w:t>1</w:t>
            </w:r>
            <w:r>
              <w:rPr>
                <w:rFonts w:hint="eastAsia" w:asciiTheme="minorEastAsia" w:hAnsiTheme="minorEastAsia" w:eastAsiaTheme="minorEastAsia" w:cstheme="minorEastAsia"/>
                <w:b/>
                <w:bCs/>
                <w:color w:val="auto"/>
                <w:sz w:val="24"/>
                <w:szCs w:val="24"/>
                <w:highlight w:val="none"/>
              </w:rPr>
              <w:t>%（除有明确尺寸偏离值外）。</w:t>
            </w:r>
            <w:r>
              <w:rPr>
                <w:rFonts w:hint="eastAsia" w:asciiTheme="minorEastAsia" w:hAnsiTheme="minorEastAsia" w:eastAsiaTheme="minorEastAsia" w:cstheme="minorEastAsia"/>
                <w:b/>
                <w:bCs/>
                <w:color w:val="auto"/>
                <w:sz w:val="24"/>
                <w:szCs w:val="24"/>
                <w:highlight w:val="none"/>
              </w:rPr>
              <w:drawing>
                <wp:anchor distT="0" distB="0" distL="114300" distR="114300" simplePos="0" relativeHeight="251699200" behindDoc="0" locked="0" layoutInCell="1" allowOverlap="1">
                  <wp:simplePos x="0" y="0"/>
                  <wp:positionH relativeFrom="column">
                    <wp:posOffset>107315</wp:posOffset>
                  </wp:positionH>
                  <wp:positionV relativeFrom="paragraph">
                    <wp:posOffset>15875</wp:posOffset>
                  </wp:positionV>
                  <wp:extent cx="1782445" cy="1800860"/>
                  <wp:effectExtent l="0" t="0" r="8255" b="2540"/>
                  <wp:wrapTopAndBottom/>
                  <wp:docPr id="7" name="图片 16" descr="D:\鸿盛（木杉）\weichat\WeChat Files\wxid_eybq4r1jecmi11\FileStorage\Temp\1680858751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D:\鸿盛（木杉）\weichat\WeChat Files\wxid_eybq4r1jecmi11\FileStorage\Temp\1680858751969.png"/>
                          <pic:cNvPicPr>
                            <a:picLocks noChangeAspect="1"/>
                          </pic:cNvPicPr>
                        </pic:nvPicPr>
                        <pic:blipFill>
                          <a:blip r:embed="rId14"/>
                          <a:stretch>
                            <a:fillRect/>
                          </a:stretch>
                        </pic:blipFill>
                        <pic:spPr>
                          <a:xfrm>
                            <a:off x="0" y="0"/>
                            <a:ext cx="1782445" cy="1800860"/>
                          </a:xfrm>
                          <a:prstGeom prst="rect">
                            <a:avLst/>
                          </a:prstGeom>
                          <a:noFill/>
                          <a:ln>
                            <a:noFill/>
                          </a:ln>
                        </pic:spPr>
                      </pic:pic>
                    </a:graphicData>
                  </a:graphic>
                </wp:anchor>
              </w:drawing>
            </w:r>
          </w:p>
        </w:tc>
        <w:tc>
          <w:tcPr>
            <w:tcW w:w="2111" w:type="dxa"/>
            <w:vAlign w:val="center"/>
          </w:tcPr>
          <w:p w14:paraId="333EF97B">
            <w:pPr>
              <w:autoSpaceDE w:val="0"/>
              <w:autoSpaceDN w:val="0"/>
              <w:adjustRightInd w:val="0"/>
              <w:spacing w:after="15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样品尺寸长：≧500mm</w:t>
            </w:r>
          </w:p>
          <w:p w14:paraId="39B3A1EA">
            <w:pPr>
              <w:numPr>
                <w:ilvl w:val="255"/>
                <w:numId w:val="0"/>
              </w:num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p>
        </w:tc>
        <w:tc>
          <w:tcPr>
            <w:tcW w:w="1165" w:type="dxa"/>
            <w:vAlign w:val="center"/>
          </w:tcPr>
          <w:p w14:paraId="27A3A71B">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喷塑和未喷塑各1根</w:t>
            </w:r>
          </w:p>
        </w:tc>
      </w:tr>
      <w:tr w14:paraId="1CC8F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48F431A7">
            <w:pPr>
              <w:pStyle w:val="11"/>
              <w:spacing w:after="150" w:line="293" w:lineRule="atLeast"/>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color w:val="auto"/>
                <w:highlight w:val="none"/>
              </w:rPr>
              <w:t>2</w:t>
            </w:r>
          </w:p>
        </w:tc>
        <w:tc>
          <w:tcPr>
            <w:tcW w:w="1119" w:type="dxa"/>
            <w:vAlign w:val="center"/>
          </w:tcPr>
          <w:p w14:paraId="698DBDF7">
            <w:pPr>
              <w:pStyle w:val="11"/>
              <w:spacing w:after="150"/>
              <w:jc w:val="center"/>
              <w:rPr>
                <w:rFonts w:hint="eastAsia" w:asciiTheme="minorEastAsia" w:hAnsiTheme="minorEastAsia" w:eastAsiaTheme="minorEastAsia" w:cstheme="minorEastAsia"/>
                <w:b/>
                <w:bCs/>
                <w:color w:val="auto"/>
                <w:kern w:val="2"/>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kern w:val="2"/>
                <w:highlight w:val="none"/>
              </w:rPr>
              <w:t>长横梁</w:t>
            </w:r>
          </w:p>
        </w:tc>
        <w:tc>
          <w:tcPr>
            <w:tcW w:w="5216" w:type="dxa"/>
            <w:vAlign w:val="center"/>
          </w:tcPr>
          <w:p w14:paraId="31A2FA7A">
            <w:pPr>
              <w:autoSpaceDE w:val="0"/>
              <w:autoSpaceDN w:val="0"/>
              <w:adjustRightInd w:val="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长横梁采用型材80mm（±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mm）*38mm（±</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mm）（含凸出舌头）*厚度≧1.3mm冷轧板经成型机一次轧成的开口异型管，前、后长横梁必须做到里外双面喷塑；横梁正面有一个宽度为26 mm（公差±2mm）的内凹加强筋，以增加横梁的强度。</w:t>
            </w:r>
          </w:p>
          <w:p w14:paraId="4E24FFF8">
            <w:pP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drawing>
                <wp:anchor distT="0" distB="0" distL="114300" distR="114300" simplePos="0" relativeHeight="251700224" behindDoc="0" locked="0" layoutInCell="1" allowOverlap="1">
                  <wp:simplePos x="0" y="0"/>
                  <wp:positionH relativeFrom="column">
                    <wp:posOffset>43815</wp:posOffset>
                  </wp:positionH>
                  <wp:positionV relativeFrom="paragraph">
                    <wp:posOffset>286385</wp:posOffset>
                  </wp:positionV>
                  <wp:extent cx="1721485" cy="1931035"/>
                  <wp:effectExtent l="0" t="0" r="5715" b="12065"/>
                  <wp:wrapTopAndBottom/>
                  <wp:docPr id="42" name="图片 2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3" descr="图片1"/>
                          <pic:cNvPicPr>
                            <a:picLocks noChangeAspect="1"/>
                          </pic:cNvPicPr>
                        </pic:nvPicPr>
                        <pic:blipFill>
                          <a:blip r:embed="rId15"/>
                          <a:stretch>
                            <a:fillRect/>
                          </a:stretch>
                        </pic:blipFill>
                        <pic:spPr>
                          <a:xfrm>
                            <a:off x="0" y="0"/>
                            <a:ext cx="1721485" cy="1931035"/>
                          </a:xfrm>
                          <a:prstGeom prst="rect">
                            <a:avLst/>
                          </a:prstGeom>
                          <a:noFill/>
                          <a:ln>
                            <a:noFill/>
                          </a:ln>
                        </pic:spPr>
                      </pic:pic>
                    </a:graphicData>
                  </a:graphic>
                </wp:anchor>
              </w:drawing>
            </w:r>
            <w:r>
              <w:rPr>
                <w:rFonts w:hint="eastAsia" w:asciiTheme="minorEastAsia" w:hAnsiTheme="minorEastAsia" w:eastAsiaTheme="minorEastAsia" w:cstheme="minorEastAsia"/>
                <w:b/>
                <w:bCs/>
                <w:color w:val="auto"/>
                <w:sz w:val="24"/>
                <w:szCs w:val="24"/>
                <w:highlight w:val="none"/>
              </w:rPr>
              <w:t>床横梁示意图：</w:t>
            </w:r>
          </w:p>
          <w:p w14:paraId="547FD4C4">
            <w:pPr>
              <w:pStyle w:val="12"/>
              <w:ind w:firstLine="482"/>
              <w:rPr>
                <w:rFonts w:hint="eastAsia" w:asciiTheme="minorEastAsia" w:hAnsiTheme="minorEastAsia" w:eastAsiaTheme="minorEastAsia" w:cstheme="minorEastAsia"/>
                <w:b/>
                <w:bCs/>
                <w:color w:val="auto"/>
                <w:sz w:val="24"/>
                <w:szCs w:val="24"/>
                <w:highlight w:val="none"/>
              </w:rPr>
            </w:pPr>
          </w:p>
          <w:p w14:paraId="26BF3B98">
            <w:pPr>
              <w:pStyle w:val="12"/>
              <w:ind w:left="0" w:leftChars="0" w:firstLine="0" w:firstLineChars="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投标人在递交投标文件时应提供以上样品，提供的样品不符合招标内容要求的参数尺寸、结构、外观造型或提供样品不齐全的，按无效投标处理</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投标人提供的样品须为全新的产品，禁止使用废旧产品及3D打印、NC加工产品</w:t>
            </w:r>
            <w:r>
              <w:rPr>
                <w:rFonts w:hint="eastAsia" w:asciiTheme="minorEastAsia" w:hAnsiTheme="minorEastAsia" w:eastAsiaTheme="minorEastAsia" w:cstheme="minorEastAsia"/>
                <w:b/>
                <w:bCs/>
                <w:color w:val="auto"/>
                <w:sz w:val="24"/>
                <w:szCs w:val="24"/>
                <w:highlight w:val="none"/>
                <w:lang w:eastAsia="zh-CN"/>
              </w:rPr>
              <w:t>）</w:t>
            </w:r>
            <w:r>
              <w:rPr>
                <w:rFonts w:hint="eastAsia" w:asciiTheme="minorEastAsia" w:hAnsiTheme="minorEastAsia" w:eastAsiaTheme="minorEastAsia" w:cstheme="minorEastAsia"/>
                <w:b/>
                <w:bCs/>
                <w:color w:val="auto"/>
                <w:sz w:val="24"/>
                <w:szCs w:val="24"/>
                <w:highlight w:val="none"/>
              </w:rPr>
              <w:t>。产品中有尺寸要求但未明确尺寸偏离值的，均要求其尺寸的偏离值不超过</w:t>
            </w:r>
            <w:r>
              <w:rPr>
                <w:rFonts w:hint="eastAsia" w:asciiTheme="minorEastAsia" w:hAnsiTheme="minorEastAsia" w:eastAsiaTheme="minorEastAsia" w:cstheme="minorEastAsia"/>
                <w:b/>
                <w:bCs/>
                <w:color w:val="auto"/>
                <w:sz w:val="24"/>
                <w:szCs w:val="24"/>
                <w:highlight w:val="none"/>
                <w:lang w:val="en-US" w:eastAsia="zh-CN"/>
              </w:rPr>
              <w:t>1</w:t>
            </w:r>
            <w:r>
              <w:rPr>
                <w:rFonts w:hint="eastAsia" w:asciiTheme="minorEastAsia" w:hAnsiTheme="minorEastAsia" w:eastAsiaTheme="minorEastAsia" w:cstheme="minorEastAsia"/>
                <w:b/>
                <w:bCs/>
                <w:color w:val="auto"/>
                <w:sz w:val="24"/>
                <w:szCs w:val="24"/>
                <w:highlight w:val="none"/>
              </w:rPr>
              <w:t>%（除有明确尺寸偏离值外）。</w:t>
            </w:r>
          </w:p>
        </w:tc>
        <w:tc>
          <w:tcPr>
            <w:tcW w:w="2111" w:type="dxa"/>
            <w:vAlign w:val="center"/>
          </w:tcPr>
          <w:p w14:paraId="3C55C1E6">
            <w:pPr>
              <w:autoSpaceDE w:val="0"/>
              <w:autoSpaceDN w:val="0"/>
              <w:adjustRightInd w:val="0"/>
              <w:spacing w:after="150"/>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样品尺寸长：≧500mm</w:t>
            </w:r>
          </w:p>
          <w:p w14:paraId="6751A6D6">
            <w:pPr>
              <w:jc w:val="center"/>
              <w:rPr>
                <w:rFonts w:hint="eastAsia" w:asciiTheme="minorEastAsia" w:hAnsiTheme="minorEastAsia" w:eastAsiaTheme="minorEastAsia" w:cstheme="minorEastAsia"/>
                <w:b/>
                <w:bCs/>
                <w:color w:val="auto"/>
                <w:sz w:val="24"/>
                <w:szCs w:val="24"/>
                <w:highlight w:val="none"/>
              </w:rPr>
            </w:pPr>
          </w:p>
        </w:tc>
        <w:tc>
          <w:tcPr>
            <w:tcW w:w="1165" w:type="dxa"/>
            <w:vAlign w:val="center"/>
          </w:tcPr>
          <w:p w14:paraId="22E7D723">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喷塑和未喷塑各1根</w:t>
            </w:r>
          </w:p>
        </w:tc>
      </w:tr>
      <w:tr w14:paraId="5F04D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15E1324F">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3</w:t>
            </w:r>
          </w:p>
        </w:tc>
        <w:tc>
          <w:tcPr>
            <w:tcW w:w="1119" w:type="dxa"/>
            <w:vAlign w:val="center"/>
          </w:tcPr>
          <w:p w14:paraId="2148CC14">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边档头中空吹塑板</w:t>
            </w:r>
          </w:p>
        </w:tc>
        <w:tc>
          <w:tcPr>
            <w:tcW w:w="5216" w:type="dxa"/>
            <w:vAlign w:val="center"/>
          </w:tcPr>
          <w:p w14:paraId="5BBB1B7F">
            <w:pPr>
              <w:autoSpaceDE w:val="0"/>
              <w:autoSpaceDN w:val="0"/>
              <w:adjustRightInd w:val="0"/>
              <w:jc w:val="left"/>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挡头采用中空吹塑工艺，表面皮纹处理造型美观，材料为HDPE 高密度聚乙烯，机械强度好，表面耐磨、抗污等良好的特性；带IPAD槽挡头1、 挡头长*宽*厚度（包括上、下厚度）最大尺寸要求：长度为746±5mm，高度不小于300mm，下部厚度为30±2mm。上部厚度为65±2mm挡头一边分布有个置物槽，可存放IPAD；且槽的尺寸为：底部长*宽尺寸不小于242*12 mm，两侧边高度尺寸为120±3 mm；挡头具有至少13个透气尺寸不小于63*15 mm的平椭圆孔和2个透气尺寸不小于126*32 mm的平椭圆孔；在挡头的左右两侧均有一次成型的警示线和刻度线，以确保符合国家标准的要求；挡头采用预埋2个M6螺母，以保证与立柱的连接可靠。</w:t>
            </w:r>
          </w:p>
          <w:p w14:paraId="2A695DCB">
            <w:pPr>
              <w:pStyle w:val="12"/>
              <w:ind w:left="0" w:leftChars="0" w:firstLine="0" w:firstLineChars="0"/>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边档头中空吹塑板示意图：</w:t>
            </w:r>
          </w:p>
          <w:p w14:paraId="772EA4A5">
            <w:pPr>
              <w:pStyle w:val="12"/>
              <w:ind w:left="0" w:leftChars="0" w:firstLine="0" w:firstLineChars="0"/>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drawing>
                <wp:inline distT="0" distB="0" distL="114300" distR="114300">
                  <wp:extent cx="2212975" cy="1633855"/>
                  <wp:effectExtent l="0" t="0" r="9525" b="4445"/>
                  <wp:docPr id="46" name="Picture 2" descr="C:\Users\665566\Documents\Tencent Files\1461405236\FileRecv\305H挡头ipad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C:\Users\665566\Documents\Tencent Files\1461405236\FileRecv\305H挡头ipad槽.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12975" cy="1633855"/>
                          </a:xfrm>
                          <a:prstGeom prst="rect">
                            <a:avLst/>
                          </a:prstGeom>
                          <a:noFill/>
                        </pic:spPr>
                      </pic:pic>
                    </a:graphicData>
                  </a:graphic>
                </wp:inline>
              </w:drawing>
            </w:r>
          </w:p>
        </w:tc>
        <w:tc>
          <w:tcPr>
            <w:tcW w:w="2111" w:type="dxa"/>
            <w:vAlign w:val="center"/>
          </w:tcPr>
          <w:p w14:paraId="17B42117">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长度为746±5mm，高度不小于300mm，下部厚度为30±2mm</w:t>
            </w:r>
          </w:p>
        </w:tc>
        <w:tc>
          <w:tcPr>
            <w:tcW w:w="1165" w:type="dxa"/>
            <w:vAlign w:val="center"/>
          </w:tcPr>
          <w:p w14:paraId="42441EE3">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1个</w:t>
            </w:r>
          </w:p>
        </w:tc>
      </w:tr>
      <w:tr w14:paraId="2D885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04AF4F89">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4</w:t>
            </w:r>
          </w:p>
        </w:tc>
        <w:tc>
          <w:tcPr>
            <w:tcW w:w="1119" w:type="dxa"/>
            <w:vAlign w:val="center"/>
          </w:tcPr>
          <w:p w14:paraId="17FA97BA">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D型管</w:t>
            </w:r>
          </w:p>
        </w:tc>
        <w:tc>
          <w:tcPr>
            <w:tcW w:w="5216" w:type="dxa"/>
            <w:vAlign w:val="center"/>
          </w:tcPr>
          <w:p w14:paraId="1EE45FE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25*19mm（公差±1mm）D型管，管材壁厚≥1.0 mm。管材底面具有1个向内尺寸为R2的加强筋，从而保证横梁的强度；管材底部形状为R12.5mm±2mm的圆弧表面，起到安全防护作用。</w:t>
            </w:r>
          </w:p>
          <w:p w14:paraId="0D926B68">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D型管示意图：</w:t>
            </w:r>
          </w:p>
          <w:p w14:paraId="3C28F985">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1964690" cy="1473835"/>
                  <wp:effectExtent l="0" t="0" r="3810" b="12065"/>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964690" cy="1473835"/>
                          </a:xfrm>
                          <a:prstGeom prst="rect">
                            <a:avLst/>
                          </a:prstGeom>
                        </pic:spPr>
                      </pic:pic>
                    </a:graphicData>
                  </a:graphic>
                </wp:inline>
              </w:drawing>
            </w:r>
            <w:r>
              <w:rPr>
                <w:rFonts w:hint="eastAsia" w:asciiTheme="minorEastAsia" w:hAnsiTheme="minorEastAsia" w:eastAsiaTheme="minorEastAsia" w:cstheme="minorEastAsia"/>
                <w:b w:val="0"/>
                <w:bCs w:val="0"/>
                <w:color w:val="auto"/>
                <w:kern w:val="2"/>
                <w:highlight w:val="none"/>
              </w:rPr>
              <w:t xml:space="preserve">  </w:t>
            </w:r>
            <w:r>
              <w:rPr>
                <w:rFonts w:hint="eastAsia" w:asciiTheme="minorEastAsia" w:hAnsiTheme="minorEastAsia" w:eastAsiaTheme="minorEastAsia" w:cstheme="minorEastAsia"/>
                <w:b w:val="0"/>
                <w:bCs w:val="0"/>
                <w:color w:val="auto"/>
                <w:kern w:val="2"/>
                <w:highlight w:val="none"/>
              </w:rPr>
              <w:drawing>
                <wp:inline distT="0" distB="0" distL="114300" distR="114300">
                  <wp:extent cx="1800225" cy="1625600"/>
                  <wp:effectExtent l="0" t="0" r="3175" b="0"/>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0225" cy="1625600"/>
                          </a:xfrm>
                          <a:prstGeom prst="rect">
                            <a:avLst/>
                          </a:prstGeom>
                        </pic:spPr>
                      </pic:pic>
                    </a:graphicData>
                  </a:graphic>
                </wp:inline>
              </w:drawing>
            </w:r>
          </w:p>
        </w:tc>
        <w:tc>
          <w:tcPr>
            <w:tcW w:w="2111" w:type="dxa"/>
            <w:vAlign w:val="center"/>
          </w:tcPr>
          <w:p w14:paraId="2980344A">
            <w:pPr>
              <w:pStyle w:val="11"/>
              <w:spacing w:after="150"/>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样品尺寸长：≧500mm</w:t>
            </w:r>
          </w:p>
          <w:p w14:paraId="0B13C4A4">
            <w:pPr>
              <w:jc w:val="center"/>
              <w:rPr>
                <w:rFonts w:hint="eastAsia" w:asciiTheme="minorEastAsia" w:hAnsiTheme="minorEastAsia" w:eastAsiaTheme="minorEastAsia" w:cstheme="minorEastAsia"/>
                <w:b w:val="0"/>
                <w:bCs w:val="0"/>
                <w:color w:val="auto"/>
                <w:sz w:val="24"/>
                <w:szCs w:val="24"/>
                <w:highlight w:val="none"/>
              </w:rPr>
            </w:pPr>
          </w:p>
        </w:tc>
        <w:tc>
          <w:tcPr>
            <w:tcW w:w="1165" w:type="dxa"/>
            <w:vAlign w:val="center"/>
          </w:tcPr>
          <w:p w14:paraId="03D1FFB1">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喷塑和未喷塑各1根</w:t>
            </w:r>
          </w:p>
        </w:tc>
      </w:tr>
      <w:tr w14:paraId="41C60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3375B627">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5</w:t>
            </w:r>
          </w:p>
        </w:tc>
        <w:tc>
          <w:tcPr>
            <w:tcW w:w="1119" w:type="dxa"/>
            <w:vAlign w:val="center"/>
          </w:tcPr>
          <w:p w14:paraId="518E8AE7">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爬梯立柱及脚套</w:t>
            </w:r>
          </w:p>
        </w:tc>
        <w:tc>
          <w:tcPr>
            <w:tcW w:w="5216" w:type="dxa"/>
            <w:vAlign w:val="center"/>
          </w:tcPr>
          <w:p w14:paraId="7B50F281">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爬梯立柱采用66*33*40mm（公差±2mm），管材壁厚≥1.2 mm；造型成T型状，上下两端弧形（R9mm），且外侧面带有凹凸花纹（花纹要为模压一次成型）。</w:t>
            </w:r>
          </w:p>
          <w:p w14:paraId="47EBD683">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爬梯立柱脚套规格：75*45*H35mm（公差±1mm），爬梯立柱脚套底部带有防滑圆点，爬梯立柱脚套为注塑一次成型。</w:t>
            </w:r>
          </w:p>
          <w:p w14:paraId="5184FEC3">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爬梯立柱示意图：</w:t>
            </w:r>
          </w:p>
          <w:p w14:paraId="5671F3B4">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1254125" cy="2065020"/>
                  <wp:effectExtent l="0" t="0" r="3175" b="5080"/>
                  <wp:docPr id="5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54125" cy="2065020"/>
                          </a:xfrm>
                          <a:prstGeom prst="rect">
                            <a:avLst/>
                          </a:prstGeom>
                        </pic:spPr>
                      </pic:pic>
                    </a:graphicData>
                  </a:graphic>
                </wp:inline>
              </w:drawing>
            </w:r>
          </w:p>
        </w:tc>
        <w:tc>
          <w:tcPr>
            <w:tcW w:w="2111" w:type="dxa"/>
            <w:vAlign w:val="center"/>
          </w:tcPr>
          <w:p w14:paraId="171AA029">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样品尺寸长：≧500mm</w:t>
            </w:r>
          </w:p>
        </w:tc>
        <w:tc>
          <w:tcPr>
            <w:tcW w:w="1165" w:type="dxa"/>
            <w:vAlign w:val="center"/>
          </w:tcPr>
          <w:p w14:paraId="5D413FFC">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喷塑和未喷塑各1根，且各都需带脚套1个</w:t>
            </w:r>
          </w:p>
        </w:tc>
      </w:tr>
      <w:tr w14:paraId="2A9CA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2728D45E">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6</w:t>
            </w:r>
          </w:p>
        </w:tc>
        <w:tc>
          <w:tcPr>
            <w:tcW w:w="1119" w:type="dxa"/>
            <w:vAlign w:val="center"/>
          </w:tcPr>
          <w:p w14:paraId="332893C5">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踏板</w:t>
            </w:r>
          </w:p>
        </w:tc>
        <w:tc>
          <w:tcPr>
            <w:tcW w:w="5216" w:type="dxa"/>
            <w:vAlign w:val="center"/>
          </w:tcPr>
          <w:p w14:paraId="0017DC8D">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踏板采用</w:t>
            </w:r>
            <w:r>
              <w:rPr>
                <w:rFonts w:hint="eastAsia" w:asciiTheme="minorEastAsia" w:hAnsiTheme="minorEastAsia" w:eastAsiaTheme="minorEastAsia" w:cstheme="minorEastAsia"/>
                <w:b w:val="0"/>
                <w:bCs w:val="0"/>
                <w:color w:val="auto"/>
                <w:kern w:val="2"/>
                <w:highlight w:val="none"/>
                <w:lang w:eastAsia="zh-CN"/>
              </w:rPr>
              <w:t>冷轧钢板</w:t>
            </w:r>
            <w:r>
              <w:rPr>
                <w:rFonts w:hint="eastAsia" w:asciiTheme="minorEastAsia" w:hAnsiTheme="minorEastAsia" w:eastAsiaTheme="minorEastAsia" w:cstheme="minorEastAsia"/>
                <w:b w:val="0"/>
                <w:bCs w:val="0"/>
                <w:color w:val="auto"/>
                <w:kern w:val="2"/>
                <w:highlight w:val="none"/>
              </w:rPr>
              <w:t>冲压成型，尺寸为415mm*120mm*18mm（误差为±3mm），踏板表面有至少10条防滑条纹，踏板钢板厚度≥1.7mm ；踏板表面两端各有一个尺寸为 19*59mm（误差为±2mm）的内凹槽用于与一次注塑成型荧光板配合；荧光板采用一次注塑成型，尺寸为17mm*57mm（误差为±2mm），两端采用R9±2mm的圆角处理，其表面带有4个防滑点；荧光板底部与踏板采用两个倒扣圆柱进行固定。</w:t>
            </w:r>
          </w:p>
          <w:p w14:paraId="05C9C3DF">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踏板示意图：</w:t>
            </w:r>
          </w:p>
          <w:p w14:paraId="2002E9CB">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097405" cy="1371600"/>
                  <wp:effectExtent l="0" t="0" r="10795" b="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39"/>
                          <a:stretch>
                            <a:fillRect/>
                          </a:stretch>
                        </pic:blipFill>
                        <pic:spPr>
                          <a:xfrm>
                            <a:off x="0" y="0"/>
                            <a:ext cx="2097405" cy="1371600"/>
                          </a:xfrm>
                          <a:prstGeom prst="rect">
                            <a:avLst/>
                          </a:prstGeom>
                        </pic:spPr>
                      </pic:pic>
                    </a:graphicData>
                  </a:graphic>
                </wp:inline>
              </w:drawing>
            </w:r>
          </w:p>
        </w:tc>
        <w:tc>
          <w:tcPr>
            <w:tcW w:w="2111" w:type="dxa"/>
            <w:vAlign w:val="center"/>
          </w:tcPr>
          <w:p w14:paraId="4DD3A5E1">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415mm*120mm*18mm（误差为±3mm）</w:t>
            </w:r>
          </w:p>
        </w:tc>
        <w:tc>
          <w:tcPr>
            <w:tcW w:w="1165" w:type="dxa"/>
            <w:vAlign w:val="center"/>
          </w:tcPr>
          <w:p w14:paraId="27777A21">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喷塑和未喷塑各1块</w:t>
            </w:r>
          </w:p>
        </w:tc>
      </w:tr>
      <w:tr w14:paraId="7BEB3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0D8EE57E">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7</w:t>
            </w:r>
          </w:p>
        </w:tc>
        <w:tc>
          <w:tcPr>
            <w:tcW w:w="1119" w:type="dxa"/>
            <w:vAlign w:val="center"/>
          </w:tcPr>
          <w:p w14:paraId="16C7CF39">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注塑封边桌面</w:t>
            </w:r>
          </w:p>
          <w:p w14:paraId="4A4ACFA2">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0DE84372">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桌面1210*600mm(士2mm)，桌面整体厚度达到≥25mm；采用E0级中密度纤维板贴三聚氰胺面+PP注塑封边、防水防潮；注塑单边厚度≥2mm，注塑边总高度30mm(士2mm)，保证使用过程中不易被撕掉或脱落；靠近人体方向封边面为倒内斜边设计，规格为≥15*15mm，有效防止学生碰伤；桌面中间有注塑封边带一体注塑成型穿线孔为φ60mm（±2mm）。</w:t>
            </w:r>
          </w:p>
          <w:p w14:paraId="04F0E3DA">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（样品需要切开一角，体现出内部基材）</w:t>
            </w:r>
          </w:p>
          <w:p w14:paraId="3793DF40">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注塑封边桌面：</w:t>
            </w:r>
          </w:p>
          <w:p w14:paraId="49D1A77F">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3019425" cy="1902460"/>
                  <wp:effectExtent l="0" t="0" r="3175" b="2540"/>
                  <wp:docPr id="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019425" cy="1902460"/>
                          </a:xfrm>
                          <a:prstGeom prst="rect">
                            <a:avLst/>
                          </a:prstGeom>
                        </pic:spPr>
                      </pic:pic>
                    </a:graphicData>
                  </a:graphic>
                </wp:inline>
              </w:drawing>
            </w:r>
          </w:p>
        </w:tc>
        <w:tc>
          <w:tcPr>
            <w:tcW w:w="2111" w:type="dxa"/>
            <w:vAlign w:val="center"/>
          </w:tcPr>
          <w:p w14:paraId="2CBEB4BE">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桌面1210*600mm(士2mm)，桌面整体厚度达到≥25mm</w:t>
            </w:r>
          </w:p>
        </w:tc>
        <w:tc>
          <w:tcPr>
            <w:tcW w:w="1165" w:type="dxa"/>
            <w:vAlign w:val="center"/>
          </w:tcPr>
          <w:p w14:paraId="4075675A">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1片</w:t>
            </w:r>
          </w:p>
        </w:tc>
      </w:tr>
      <w:tr w14:paraId="72DAA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578FBFCE">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8</w:t>
            </w:r>
          </w:p>
        </w:tc>
        <w:tc>
          <w:tcPr>
            <w:tcW w:w="1119" w:type="dxa"/>
            <w:vAlign w:val="center"/>
          </w:tcPr>
          <w:p w14:paraId="1437983F">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一字注塑包边锁片</w:t>
            </w:r>
          </w:p>
          <w:p w14:paraId="7A68505D">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30105140">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锁片由两种材料组成，最外面为ABS材料芯部为不锈钢零件进行一次注塑成型，两端为半圆型设计，芯部零件采用1.2mm厚度的不锈钢板一次冲压成型；锁片最大尺寸规格为：总长75±3mm， 宽 17±2mm， 高 3.5±1mm。</w:t>
            </w:r>
          </w:p>
          <w:p w14:paraId="2702E19A">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一字注塑包边锁片示意图：</w:t>
            </w:r>
          </w:p>
          <w:p w14:paraId="33B70E43">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402840" cy="1423035"/>
                  <wp:effectExtent l="0" t="0" r="10160" b="12065"/>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32" cstate="print"/>
                          <a:stretch>
                            <a:fillRect/>
                          </a:stretch>
                        </pic:blipFill>
                        <pic:spPr>
                          <a:xfrm>
                            <a:off x="0" y="0"/>
                            <a:ext cx="2402840" cy="1423035"/>
                          </a:xfrm>
                          <a:prstGeom prst="rect">
                            <a:avLst/>
                          </a:prstGeom>
                          <a:noFill/>
                          <a:ln w="9525">
                            <a:noFill/>
                          </a:ln>
                        </pic:spPr>
                      </pic:pic>
                    </a:graphicData>
                  </a:graphic>
                </wp:inline>
              </w:drawing>
            </w:r>
          </w:p>
        </w:tc>
        <w:tc>
          <w:tcPr>
            <w:tcW w:w="2111" w:type="dxa"/>
            <w:vAlign w:val="center"/>
          </w:tcPr>
          <w:p w14:paraId="0427FC5F">
            <w:pPr>
              <w:jc w:val="center"/>
              <w:rPr>
                <w:rFonts w:hint="eastAsia" w:asciiTheme="minorEastAsia" w:hAnsiTheme="minorEastAsia" w:eastAsiaTheme="minorEastAsia" w:cstheme="minorEastAsia"/>
                <w:b w:val="0"/>
                <w:bCs w:val="0"/>
                <w:color w:val="auto"/>
                <w:sz w:val="24"/>
                <w:szCs w:val="24"/>
                <w:highlight w:val="none"/>
              </w:rPr>
            </w:pPr>
          </w:p>
        </w:tc>
        <w:tc>
          <w:tcPr>
            <w:tcW w:w="1165" w:type="dxa"/>
            <w:vAlign w:val="center"/>
          </w:tcPr>
          <w:p w14:paraId="543B889F">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1个</w:t>
            </w:r>
          </w:p>
        </w:tc>
      </w:tr>
      <w:tr w14:paraId="11D0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3756DFFB">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9</w:t>
            </w:r>
          </w:p>
        </w:tc>
        <w:tc>
          <w:tcPr>
            <w:tcW w:w="1119" w:type="dxa"/>
            <w:vAlign w:val="center"/>
          </w:tcPr>
          <w:p w14:paraId="326F6DDD">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铝合金圆形荧光拉手</w:t>
            </w:r>
          </w:p>
          <w:p w14:paraId="13D73611">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6E0175E4">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铝合金圆形荧光拉手：规格：Ф25（±1）*25（±1）mm,固定孔为M4;底座为Ф25（±1）*3（±1）mm；中间高度为12（±1）mm；上部为三层防滑设计，高度为9mm（±1）,上圆弧角R度为大于1.5mm；顶层为圆形，内带中空圆形荧光设计；荧光采用滴胶工艺制作，宽度≥3mm ,厚度≥1mm;荧光条内圆直径≥13mm,外圆直径≥21mm。</w:t>
            </w:r>
          </w:p>
          <w:p w14:paraId="19DF29E1">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铝合金圆形荧光拉手示意图：</w:t>
            </w:r>
          </w:p>
          <w:p w14:paraId="58AC308B">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1808480" cy="2080260"/>
                  <wp:effectExtent l="0" t="0" r="7620" b="2540"/>
                  <wp:docPr id="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8"/>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8480" cy="2080260"/>
                          </a:xfrm>
                          <a:prstGeom prst="rect">
                            <a:avLst/>
                          </a:prstGeom>
                        </pic:spPr>
                      </pic:pic>
                    </a:graphicData>
                  </a:graphic>
                </wp:inline>
              </w:drawing>
            </w:r>
          </w:p>
        </w:tc>
        <w:tc>
          <w:tcPr>
            <w:tcW w:w="2111" w:type="dxa"/>
            <w:vAlign w:val="center"/>
          </w:tcPr>
          <w:p w14:paraId="54CF44DC">
            <w:pPr>
              <w:jc w:val="center"/>
              <w:rPr>
                <w:rFonts w:hint="eastAsia" w:asciiTheme="minorEastAsia" w:hAnsiTheme="minorEastAsia" w:eastAsiaTheme="minorEastAsia" w:cstheme="minorEastAsia"/>
                <w:b w:val="0"/>
                <w:bCs w:val="0"/>
                <w:color w:val="auto"/>
                <w:sz w:val="24"/>
                <w:szCs w:val="24"/>
                <w:highlight w:val="none"/>
              </w:rPr>
            </w:pPr>
          </w:p>
        </w:tc>
        <w:tc>
          <w:tcPr>
            <w:tcW w:w="1165" w:type="dxa"/>
            <w:vAlign w:val="center"/>
          </w:tcPr>
          <w:p w14:paraId="786965FA">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需提供三个不同颜色的铝合金圆形荧光拉手样品，供采购人选择</w:t>
            </w:r>
          </w:p>
        </w:tc>
      </w:tr>
      <w:tr w14:paraId="0DA4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4B7699CC">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10</w:t>
            </w:r>
          </w:p>
        </w:tc>
        <w:tc>
          <w:tcPr>
            <w:tcW w:w="1119" w:type="dxa"/>
            <w:vAlign w:val="center"/>
          </w:tcPr>
          <w:p w14:paraId="5F14C67B">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衣杆两侧配固定架和衣杆盖</w:t>
            </w:r>
          </w:p>
          <w:p w14:paraId="7916F0AC">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7FD2BB5B">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衣杆两侧配固定架和衣杆盖：锌合金衣杆固定架采用圆形留有四孔固定位规格：57*57*11mm（±2％）厚度≥1.4mm，支撑衣杆处宽度≥7.5mm厚度≥3mm；配有锌合金衣杆盖，锌合金衣杆盖规格：60*60*13mm（±2％）厚度≥1.1mm。</w:t>
            </w:r>
          </w:p>
          <w:p w14:paraId="573DA03E">
            <w:pP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衣杆两侧配固定架和衣杆盖示意图：</w:t>
            </w:r>
          </w:p>
          <w:p w14:paraId="099DC9BA">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189480" cy="2348865"/>
                  <wp:effectExtent l="0" t="0" r="7620" b="635"/>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34"/>
                          <a:stretch>
                            <a:fillRect/>
                          </a:stretch>
                        </pic:blipFill>
                        <pic:spPr>
                          <a:xfrm>
                            <a:off x="0" y="0"/>
                            <a:ext cx="2189480" cy="2348865"/>
                          </a:xfrm>
                          <a:prstGeom prst="rect">
                            <a:avLst/>
                          </a:prstGeom>
                          <a:noFill/>
                          <a:ln>
                            <a:noFill/>
                          </a:ln>
                        </pic:spPr>
                      </pic:pic>
                    </a:graphicData>
                  </a:graphic>
                </wp:inline>
              </w:drawing>
            </w:r>
            <w:r>
              <w:rPr>
                <w:rFonts w:hint="eastAsia" w:asciiTheme="minorEastAsia" w:hAnsiTheme="minorEastAsia" w:eastAsiaTheme="minorEastAsia" w:cstheme="minorEastAsia"/>
                <w:b w:val="0"/>
                <w:bCs w:val="0"/>
                <w:color w:val="auto"/>
                <w:kern w:val="2"/>
                <w:highlight w:val="none"/>
              </w:rPr>
              <w:t xml:space="preserve">  </w:t>
            </w:r>
          </w:p>
          <w:p w14:paraId="2A10C849">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972435" cy="2068830"/>
                  <wp:effectExtent l="0" t="0" r="12065" b="1270"/>
                  <wp:docPr id="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
                          <pic:cNvPicPr>
                            <a:picLocks noChangeAspect="1"/>
                          </pic:cNvPicPr>
                        </pic:nvPicPr>
                        <pic:blipFill>
                          <a:blip r:embed="rId35"/>
                          <a:stretch>
                            <a:fillRect/>
                          </a:stretch>
                        </pic:blipFill>
                        <pic:spPr>
                          <a:xfrm>
                            <a:off x="0" y="0"/>
                            <a:ext cx="2972435" cy="2068830"/>
                          </a:xfrm>
                          <a:prstGeom prst="rect">
                            <a:avLst/>
                          </a:prstGeom>
                          <a:noFill/>
                          <a:ln>
                            <a:noFill/>
                          </a:ln>
                        </pic:spPr>
                      </pic:pic>
                    </a:graphicData>
                  </a:graphic>
                </wp:inline>
              </w:drawing>
            </w:r>
          </w:p>
        </w:tc>
        <w:tc>
          <w:tcPr>
            <w:tcW w:w="2111" w:type="dxa"/>
            <w:vAlign w:val="center"/>
          </w:tcPr>
          <w:p w14:paraId="723812B8">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锌合金衣杆固定架57*57*11mm（±2％）厚度≥1.4mm，锌合金衣杆盖规格：60*60*13mm（±2％）厚度≥1.1mm</w:t>
            </w:r>
          </w:p>
        </w:tc>
        <w:tc>
          <w:tcPr>
            <w:tcW w:w="1165" w:type="dxa"/>
            <w:vAlign w:val="center"/>
          </w:tcPr>
          <w:p w14:paraId="460E3069">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需提供一套衣杆两侧配固定架和衣杆盖样品</w:t>
            </w:r>
          </w:p>
        </w:tc>
      </w:tr>
      <w:tr w14:paraId="09610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419EA8DA">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11</w:t>
            </w:r>
          </w:p>
        </w:tc>
        <w:tc>
          <w:tcPr>
            <w:tcW w:w="1119" w:type="dxa"/>
            <w:vAlign w:val="center"/>
          </w:tcPr>
          <w:p w14:paraId="3A10A0D0">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公寓椅</w:t>
            </w:r>
          </w:p>
        </w:tc>
        <w:tc>
          <w:tcPr>
            <w:tcW w:w="5216" w:type="dxa"/>
            <w:vAlign w:val="center"/>
          </w:tcPr>
          <w:p w14:paraId="5E363413">
            <w:pPr>
              <w:spacing w:line="160" w:lineRule="atLeast"/>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规格：450*550*780mm（长*深*高，±10mm）</w:t>
            </w:r>
          </w:p>
          <w:p w14:paraId="199331BC">
            <w:pPr>
              <w:spacing w:line="160" w:lineRule="atLeast"/>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材质说明：（椅面、椅背颜色可选）</w:t>
            </w:r>
          </w:p>
          <w:p w14:paraId="3C9154F2">
            <w:pPr>
              <w:pStyle w:val="20"/>
              <w:rPr>
                <w:rFonts w:asciiTheme="minorEastAsia" w:hAnsiTheme="minorEastAsia" w:cstheme="minorEastAsia"/>
                <w:b w:val="0"/>
                <w:bCs w:val="0"/>
                <w:color w:val="auto"/>
                <w:kern w:val="2"/>
                <w:sz w:val="24"/>
                <w:szCs w:val="24"/>
                <w:highlight w:val="none"/>
                <w:lang w:eastAsia="zh-CN"/>
              </w:rPr>
            </w:pPr>
            <w:r>
              <w:rPr>
                <w:rFonts w:asciiTheme="minorEastAsia" w:hAnsiTheme="minorEastAsia" w:cstheme="minorEastAsia"/>
                <w:b w:val="0"/>
                <w:bCs w:val="0"/>
                <w:color w:val="auto"/>
                <w:kern w:val="2"/>
                <w:sz w:val="24"/>
                <w:szCs w:val="24"/>
                <w:highlight w:val="none"/>
                <w:lang w:eastAsia="zh-CN"/>
              </w:rPr>
              <w:t>1椅架：椅脚和靠背管都采用≥40*20*1.4mm的椭圆钢管，底座中间连接杆采用≥40*20*1.2mm的椭圆钢管。椅架框采用≥30*15*1.4mm的椭圆钢管。2、椅面：椅面规格：座板深度450 （±5mm）*座板宽度 415mm（±5mm）。椅面采用中空吹塑工艺一次性成型。表面皮纹处理，符合人体工程学。材料为HDPE高密度聚乙烯。椅架框和椅面连接方式为椅面内嵌在椅架的U型框内。3、椅背：1.椅背靠背部分规格为靠背板宽度455mm（±5mm）*靠背板高度255mm（±5mm）。椅背用中空吹塑工艺一次性成型。表面皮纹处理，弧形结构符合人体工程学。材料为HDPE高密度聚乙烯。椅背上沿向内折边，折边处光滑圆润，没有毛刺。椅背上方具有宽度≥110mm的仿手型拉手口。椅背内插钢管为≥40*20*厚度1.4mm椭圆管。4、脚套：采用前脚套、后脚垫设计，采用PP材料一次性注塑成型。</w:t>
            </w:r>
          </w:p>
          <w:p w14:paraId="6216A8AE">
            <w:pPr>
              <w:pStyle w:val="2"/>
              <w:jc w:val="both"/>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公寓椅示意图：</w:t>
            </w:r>
          </w:p>
          <w:p w14:paraId="2D7C67C9">
            <w:pPr>
              <w:pStyle w:val="20"/>
              <w:rPr>
                <w:rFonts w:asciiTheme="minorEastAsia" w:hAnsiTheme="minorEastAsia" w:cstheme="minorEastAsia"/>
                <w:b w:val="0"/>
                <w:bCs w:val="0"/>
                <w:color w:val="auto"/>
                <w:kern w:val="2"/>
                <w:sz w:val="24"/>
                <w:szCs w:val="24"/>
                <w:highlight w:val="none"/>
                <w:lang w:eastAsia="zh-CN"/>
              </w:rPr>
            </w:pPr>
            <w:r>
              <w:rPr>
                <w:rFonts w:asciiTheme="minorEastAsia" w:hAnsiTheme="minorEastAsia" w:cstheme="minorEastAsia"/>
                <w:b w:val="0"/>
                <w:bCs w:val="0"/>
                <w:color w:val="auto"/>
                <w:kern w:val="2"/>
                <w:sz w:val="24"/>
                <w:szCs w:val="24"/>
                <w:highlight w:val="none"/>
                <w:lang w:eastAsia="zh-CN"/>
              </w:rPr>
              <w:drawing>
                <wp:inline distT="0" distB="0" distL="114300" distR="114300">
                  <wp:extent cx="2178050" cy="2945765"/>
                  <wp:effectExtent l="0" t="0" r="6350" b="635"/>
                  <wp:docPr id="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5"/>
                          <pic:cNvPicPr>
                            <a:picLocks noChangeAspect="1"/>
                          </pic:cNvPicPr>
                        </pic:nvPicPr>
                        <pic:blipFill>
                          <a:blip r:embed="rId38"/>
                          <a:stretch>
                            <a:fillRect/>
                          </a:stretch>
                        </pic:blipFill>
                        <pic:spPr>
                          <a:xfrm>
                            <a:off x="0" y="0"/>
                            <a:ext cx="2178050" cy="2945765"/>
                          </a:xfrm>
                          <a:prstGeom prst="rect">
                            <a:avLst/>
                          </a:prstGeom>
                          <a:noFill/>
                          <a:ln>
                            <a:noFill/>
                          </a:ln>
                        </pic:spPr>
                      </pic:pic>
                    </a:graphicData>
                  </a:graphic>
                </wp:inline>
              </w:drawing>
            </w:r>
          </w:p>
        </w:tc>
        <w:tc>
          <w:tcPr>
            <w:tcW w:w="2111" w:type="dxa"/>
            <w:vAlign w:val="center"/>
          </w:tcPr>
          <w:p w14:paraId="651C98EB">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450*550*780mm（长*深*高，±10mm）</w:t>
            </w:r>
          </w:p>
        </w:tc>
        <w:tc>
          <w:tcPr>
            <w:tcW w:w="1165" w:type="dxa"/>
            <w:vAlign w:val="center"/>
          </w:tcPr>
          <w:p w14:paraId="02217C86">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1张</w:t>
            </w:r>
          </w:p>
        </w:tc>
      </w:tr>
      <w:tr w14:paraId="19307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3" w:type="dxa"/>
            <w:gridSpan w:val="5"/>
          </w:tcPr>
          <w:p w14:paraId="5602C6B3">
            <w:pP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备注：</w:t>
            </w:r>
          </w:p>
          <w:p w14:paraId="57641470">
            <w:pPr>
              <w:spacing w:line="360" w:lineRule="auto"/>
              <w:ind w:firstLine="480" w:firstLineChars="200"/>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投标人在递交投标文件时应提供以上样品，提供的样品</w:t>
            </w:r>
            <w:r>
              <w:rPr>
                <w:rFonts w:hint="eastAsia" w:asciiTheme="minorEastAsia" w:hAnsiTheme="minorEastAsia" w:eastAsiaTheme="minorEastAsia" w:cstheme="minorEastAsia"/>
                <w:b w:val="0"/>
                <w:bCs w:val="0"/>
                <w:color w:val="auto"/>
                <w:sz w:val="24"/>
                <w:szCs w:val="24"/>
                <w:highlight w:val="none"/>
                <w:lang w:eastAsia="zh-CN"/>
              </w:rPr>
              <w:t>需</w:t>
            </w:r>
            <w:r>
              <w:rPr>
                <w:rFonts w:hint="eastAsia" w:asciiTheme="minorEastAsia" w:hAnsiTheme="minorEastAsia" w:eastAsiaTheme="minorEastAsia" w:cstheme="minorEastAsia"/>
                <w:b w:val="0"/>
                <w:bCs w:val="0"/>
                <w:color w:val="auto"/>
                <w:sz w:val="24"/>
                <w:szCs w:val="24"/>
                <w:highlight w:val="none"/>
              </w:rPr>
              <w:t>符合招标内容要求的参数尺寸、结构、外观造型。产品中有尺寸要求但未明确尺寸偏离值的，均要求其尺寸的偏离值不超过0.5%（除有明确尺寸偏离值外）。</w:t>
            </w:r>
          </w:p>
        </w:tc>
      </w:tr>
    </w:tbl>
    <w:p w14:paraId="5B50B9D1">
      <w:pPr>
        <w:widowControl/>
        <w:spacing w:line="360" w:lineRule="auto"/>
        <w:ind w:firstLine="470"/>
        <w:jc w:val="left"/>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bCs/>
          <w:color w:val="auto"/>
          <w:sz w:val="24"/>
          <w:szCs w:val="24"/>
          <w:highlight w:val="none"/>
        </w:rPr>
        <w:t>★8.3.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w:t>
      </w:r>
      <w:r>
        <w:rPr>
          <w:rFonts w:hint="eastAsia" w:asciiTheme="minorEastAsia" w:hAnsiTheme="minorEastAsia" w:eastAsiaTheme="minorEastAsia" w:cstheme="minorEastAsia"/>
          <w:b/>
          <w:color w:val="auto"/>
          <w:sz w:val="24"/>
          <w:szCs w:val="24"/>
          <w:highlight w:val="none"/>
        </w:rPr>
        <w:t>送至</w:t>
      </w:r>
      <w:r>
        <w:rPr>
          <w:rFonts w:hint="eastAsia" w:asciiTheme="minorEastAsia" w:hAnsiTheme="minorEastAsia" w:eastAsiaTheme="minorEastAsia" w:cstheme="minorEastAsia"/>
          <w:b/>
          <w:color w:val="auto"/>
          <w:sz w:val="24"/>
          <w:szCs w:val="24"/>
          <w:highlight w:val="none"/>
          <w:u w:val="single"/>
        </w:rPr>
        <w:t>厦门市湖里区云顶北路842号厦门市政务服务中心负一楼样品室</w:t>
      </w:r>
      <w:r>
        <w:rPr>
          <w:rFonts w:hint="eastAsia" w:asciiTheme="minorEastAsia" w:hAnsiTheme="minorEastAsia" w:eastAsiaTheme="minorEastAsia" w:cstheme="minorEastAsia"/>
          <w:b/>
          <w:color w:val="auto"/>
          <w:sz w:val="24"/>
          <w:szCs w:val="24"/>
          <w:highlight w:val="none"/>
        </w:rPr>
        <w:t>。</w:t>
      </w:r>
    </w:p>
    <w:p w14:paraId="65FDAA45">
      <w:pPr>
        <w:widowControl/>
        <w:spacing w:line="360" w:lineRule="auto"/>
        <w:ind w:firstLine="471"/>
        <w:jc w:val="left"/>
        <w:rPr>
          <w:rFonts w:hint="eastAsia" w:asciiTheme="minorEastAsia" w:hAnsiTheme="minorEastAsia" w:eastAsiaTheme="minorEastAsia" w:cstheme="minorEastAsia"/>
          <w:color w:val="auto"/>
          <w:kern w:val="0"/>
          <w:sz w:val="24"/>
          <w:szCs w:val="24"/>
          <w:highlight w:val="none"/>
          <w:lang w:bidi="ar"/>
        </w:rPr>
      </w:pPr>
      <w:r>
        <w:rPr>
          <w:rFonts w:hint="eastAsia" w:asciiTheme="minorEastAsia" w:hAnsiTheme="minorEastAsia" w:eastAsiaTheme="minorEastAsia" w:cstheme="minorEastAsia"/>
          <w:b/>
          <w:bCs/>
          <w:color w:val="auto"/>
          <w:sz w:val="24"/>
          <w:szCs w:val="24"/>
          <w:highlight w:val="none"/>
        </w:rPr>
        <w:t>9、</w:t>
      </w:r>
      <w:r>
        <w:rPr>
          <w:rFonts w:hint="eastAsia" w:asciiTheme="minorEastAsia" w:hAnsiTheme="minorEastAsia" w:eastAsiaTheme="minorEastAsia" w:cstheme="minorEastAsia"/>
          <w:color w:val="auto"/>
          <w:kern w:val="0"/>
          <w:sz w:val="24"/>
          <w:szCs w:val="24"/>
          <w:highlight w:val="none"/>
          <w:lang w:bidi="ar"/>
        </w:rPr>
        <w:t>由于市行政服务中心地下停车库不让限高&gt;2米车辆进入，因此送样品的车辆限高≦2米。不遵守此规定，后果自负。</w:t>
      </w:r>
    </w:p>
    <w:p w14:paraId="2653B982">
      <w:pPr>
        <w:widowControl/>
        <w:spacing w:line="360" w:lineRule="auto"/>
        <w:ind w:firstLine="471"/>
        <w:jc w:val="left"/>
        <w:rPr>
          <w:rFonts w:hint="eastAsia" w:asciiTheme="minorEastAsia" w:hAnsiTheme="minorEastAsia" w:eastAsiaTheme="minorEastAsia" w:cstheme="minorEastAsia"/>
          <w:b/>
          <w:bCs/>
          <w:color w:val="auto"/>
          <w:sz w:val="24"/>
          <w:szCs w:val="24"/>
          <w:highlight w:val="none"/>
          <w:lang w:val="en-US" w:eastAsia="zh-CN"/>
        </w:rPr>
      </w:pPr>
      <w:r>
        <w:rPr>
          <w:rFonts w:hint="eastAsia" w:ascii="宋体" w:hAnsi="宋体"/>
          <w:b/>
          <w:bCs/>
          <w:color w:val="auto"/>
          <w:sz w:val="24"/>
          <w:szCs w:val="24"/>
          <w:highlight w:val="none"/>
        </w:rPr>
        <w:t>★10.中标后</w:t>
      </w:r>
      <w:r>
        <w:rPr>
          <w:rFonts w:hint="eastAsia" w:ascii="宋体" w:hAnsi="宋体"/>
          <w:b/>
          <w:bCs/>
          <w:color w:val="auto"/>
          <w:sz w:val="24"/>
          <w:szCs w:val="24"/>
          <w:highlight w:val="none"/>
          <w:lang w:val="en-US" w:eastAsia="zh-CN"/>
        </w:rPr>
        <w:t>合同签订前</w:t>
      </w:r>
      <w:r>
        <w:rPr>
          <w:rFonts w:hint="eastAsia" w:ascii="宋体" w:hAnsi="宋体"/>
          <w:b/>
          <w:bCs/>
          <w:color w:val="auto"/>
          <w:sz w:val="24"/>
          <w:szCs w:val="24"/>
          <w:highlight w:val="none"/>
        </w:rPr>
        <w:t>，中标供应商提供投标文件响应的检测报告原件给使用单位核查。中标供应商应接到通知后在3个工作日内提供检测报告原件。如中标供应商无法提供检测报告原件，或者发现中标供应商提供的检测报告原件与</w:t>
      </w:r>
      <w:r>
        <w:rPr>
          <w:rFonts w:hint="eastAsia" w:ascii="宋体" w:hAnsi="宋体"/>
          <w:b/>
          <w:bCs/>
          <w:color w:val="auto"/>
          <w:sz w:val="24"/>
          <w:szCs w:val="24"/>
          <w:highlight w:val="none"/>
          <w:lang w:eastAsia="zh-CN"/>
        </w:rPr>
        <w:t>复印件（含扫描件）</w:t>
      </w:r>
      <w:r>
        <w:rPr>
          <w:rFonts w:hint="eastAsia" w:ascii="宋体" w:hAnsi="宋体"/>
          <w:b/>
          <w:bCs/>
          <w:color w:val="auto"/>
          <w:sz w:val="24"/>
          <w:szCs w:val="24"/>
          <w:highlight w:val="none"/>
        </w:rPr>
        <w:t>不一致，或者经查询发现检测报告存在造假情形的，取消中标供应商资格并列入不良行为记录。供应商需提供书面承诺函（格式自拟）。</w:t>
      </w:r>
    </w:p>
    <w:p w14:paraId="06A08DD4">
      <w:pPr>
        <w:widowControl/>
        <w:spacing w:line="360" w:lineRule="auto"/>
        <w:ind w:firstLine="471"/>
        <w:jc w:val="left"/>
        <w:rPr>
          <w:rFonts w:hint="eastAsia" w:asciiTheme="minorEastAsia" w:hAnsiTheme="minorEastAsia" w:eastAsiaTheme="minorEastAsia" w:cstheme="minorEastAsia"/>
          <w:b w:val="0"/>
          <w:bCs w:val="0"/>
          <w:color w:val="auto"/>
          <w:sz w:val="24"/>
          <w:szCs w:val="24"/>
          <w:highlight w:val="none"/>
          <w:lang w:val="en-US" w:eastAsia="zh-CN"/>
        </w:rPr>
      </w:pPr>
      <w:r>
        <w:rPr>
          <w:rFonts w:hint="eastAsia" w:asciiTheme="minorEastAsia" w:hAnsiTheme="minorEastAsia" w:eastAsiaTheme="minorEastAsia" w:cstheme="minorEastAsia"/>
          <w:b w:val="0"/>
          <w:bCs w:val="0"/>
          <w:color w:val="auto"/>
          <w:sz w:val="24"/>
          <w:szCs w:val="24"/>
          <w:highlight w:val="none"/>
          <w:lang w:val="en-US" w:eastAsia="zh-CN"/>
        </w:rPr>
        <w:t>11.家具安装完毕后须对每间宿舍的床位进行数字编码喷漆，喷码前需与使用单位确认颜色、位置、大小、序号等。</w:t>
      </w:r>
    </w:p>
    <w:p w14:paraId="47991500">
      <w:pPr>
        <w:spacing w:line="360" w:lineRule="auto"/>
        <w:ind w:right="-63" w:rightChars="-3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三、投标人资格证明要求</w:t>
      </w:r>
    </w:p>
    <w:p w14:paraId="14B09642">
      <w:pPr>
        <w:snapToGrid w:val="0"/>
        <w:spacing w:line="360" w:lineRule="auto"/>
        <w:ind w:firstLine="590" w:firstLineChars="245"/>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★1.投标人应提供工商营业执照（副本）（加盖公章）的</w:t>
      </w:r>
      <w:r>
        <w:rPr>
          <w:rFonts w:hint="eastAsia" w:asciiTheme="minorEastAsia" w:hAnsiTheme="minorEastAsia" w:eastAsiaTheme="minorEastAsia" w:cstheme="minorEastAsia"/>
          <w:b/>
          <w:color w:val="auto"/>
          <w:sz w:val="24"/>
          <w:szCs w:val="24"/>
          <w:highlight w:val="none"/>
          <w:lang w:eastAsia="zh-CN"/>
        </w:rPr>
        <w:t>复印件（含扫描件）</w:t>
      </w:r>
      <w:r>
        <w:rPr>
          <w:rFonts w:hint="eastAsia" w:asciiTheme="minorEastAsia" w:hAnsiTheme="minorEastAsia" w:eastAsiaTheme="minorEastAsia" w:cstheme="minorEastAsia"/>
          <w:b/>
          <w:color w:val="auto"/>
          <w:sz w:val="24"/>
          <w:szCs w:val="24"/>
          <w:highlight w:val="none"/>
        </w:rPr>
        <w:t>，提供税务登记证及组织机构代码证</w:t>
      </w:r>
      <w:r>
        <w:rPr>
          <w:rFonts w:hint="eastAsia" w:asciiTheme="minorEastAsia" w:hAnsiTheme="minorEastAsia" w:eastAsiaTheme="minorEastAsia" w:cstheme="minorEastAsia"/>
          <w:b/>
          <w:color w:val="auto"/>
          <w:sz w:val="24"/>
          <w:szCs w:val="24"/>
          <w:highlight w:val="none"/>
          <w:lang w:eastAsia="zh-CN"/>
        </w:rPr>
        <w:t>复印件（含扫描件）</w:t>
      </w:r>
      <w:r>
        <w:rPr>
          <w:rFonts w:hint="eastAsia" w:asciiTheme="minorEastAsia" w:hAnsiTheme="minorEastAsia" w:eastAsiaTheme="minorEastAsia" w:cstheme="minorEastAsia"/>
          <w:b/>
          <w:color w:val="auto"/>
          <w:sz w:val="24"/>
          <w:szCs w:val="24"/>
          <w:highlight w:val="none"/>
        </w:rPr>
        <w:t>。投标人已提供加载有统一社会信用代码营业执照的，视为已提供税务登记证和组织机构代码证。</w:t>
      </w:r>
    </w:p>
    <w:p w14:paraId="7EDE40AF">
      <w:pPr>
        <w:pStyle w:val="11"/>
        <w:shd w:val="clear" w:color="auto" w:fill="FFFFFF"/>
        <w:spacing w:before="0" w:beforeAutospacing="0" w:after="0" w:afterAutospacing="0" w:line="360" w:lineRule="auto"/>
        <w:ind w:firstLine="470" w:firstLineChars="195"/>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★2.投标人全权代表若不是单位负责人或法定代表人，应提供单位授权书原件，并提供被授权代表身份证</w:t>
      </w:r>
      <w:r>
        <w:rPr>
          <w:rFonts w:hint="eastAsia" w:asciiTheme="minorEastAsia" w:hAnsiTheme="minorEastAsia" w:eastAsiaTheme="minorEastAsia" w:cstheme="minorEastAsia"/>
          <w:b/>
          <w:color w:val="auto"/>
          <w:highlight w:val="none"/>
          <w:lang w:eastAsia="zh-CN"/>
        </w:rPr>
        <w:t>复印件（含扫描件）</w:t>
      </w:r>
      <w:r>
        <w:rPr>
          <w:rFonts w:hint="eastAsia" w:asciiTheme="minorEastAsia" w:hAnsiTheme="minorEastAsia" w:eastAsiaTheme="minorEastAsia" w:cstheme="minorEastAsia"/>
          <w:b/>
          <w:color w:val="auto"/>
          <w:highlight w:val="none"/>
        </w:rPr>
        <w:t>。</w:t>
      </w:r>
    </w:p>
    <w:p w14:paraId="4EA7C409">
      <w:pPr>
        <w:pStyle w:val="11"/>
        <w:shd w:val="clear" w:color="auto" w:fill="FFFFFF"/>
        <w:spacing w:before="0" w:beforeAutospacing="0" w:after="0" w:afterAutospacing="0" w:line="360" w:lineRule="auto"/>
        <w:ind w:firstLine="470" w:firstLineChars="195"/>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★3.本项目专门面向小微企业采购，所投所有采购标的均为小微企业制造。投标人需根据招标文件格式提供中小企业声明函。同时本项目不再执行价格评审优惠的扶持政策。 特别说明：（1）中小企业划分标准文件依据：财政部《关于印发中小企业划型标准规定的通知》（工信部联企业〔2011〕300号）。 （2）本项目适用行业为工业行业。</w:t>
      </w:r>
    </w:p>
    <w:p w14:paraId="4849A26E">
      <w:pPr>
        <w:pStyle w:val="11"/>
        <w:shd w:val="clear" w:color="auto" w:fill="FFFFFF"/>
        <w:spacing w:before="0" w:beforeAutospacing="0" w:after="0" w:afterAutospacing="0" w:line="360" w:lineRule="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四、商务响应要求</w:t>
      </w:r>
    </w:p>
    <w:p w14:paraId="1FC9158B">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1.投标人应在投标文件中提供最近三年来在中国，家具项目的合同业绩证明材料（提供项目中标公告或中标通知书及合同</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，加盖单位公章，原件备查），需提供项目名称、合同金额、中标日期、联系人。</w:t>
      </w:r>
    </w:p>
    <w:p w14:paraId="536C30E9">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2.投标人应在投标文件中书面承诺自身已经具备自行生产所投价的全系列产品的能力。</w:t>
      </w:r>
    </w:p>
    <w:p w14:paraId="64F88558">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3.投标人应在投标文件中提供会计师事务所出具的上年或2024年审计报告及银行出具的资信证明文件；如属新企业需出具当年验资报告。</w:t>
      </w:r>
    </w:p>
    <w:p w14:paraId="2CECE5AB">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4．投标人应在投标文件中提供生产合同管理计划保证书一份。</w:t>
      </w:r>
    </w:p>
    <w:p w14:paraId="4FF539E1">
      <w:pPr>
        <w:spacing w:line="360" w:lineRule="auto"/>
        <w:ind w:left="-178" w:leftChars="-85" w:right="359" w:rightChars="171" w:firstLine="361" w:firstLineChars="15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五、货物质量标准、验收标准</w:t>
      </w:r>
    </w:p>
    <w:p w14:paraId="479BDACD">
      <w:pPr>
        <w:pStyle w:val="6"/>
        <w:spacing w:line="360" w:lineRule="auto"/>
        <w:ind w:left="0" w:leftChars="0"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1．投标人提供货物的制造标准、安装标准、验收标准及技术规范等有关资料应符合国家规定的有关标准、规范要求。</w:t>
      </w:r>
    </w:p>
    <w:p w14:paraId="3848A3C3">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2．投标人应保证提供原产、正宗品牌货物，不得用伪劣货物替代；采购人或使用单位可以随机抽取货物商品进行破坏性验收。如出现上述质量问题采购单位有权退货并解除合同。</w:t>
      </w:r>
    </w:p>
    <w:p w14:paraId="1ADED172">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3．在生产过程或验收过程中发现中标供应商对中标货物进行分包、转包，采购单位有权单方解除合同并有权拒付全部货款。</w:t>
      </w:r>
    </w:p>
    <w:p w14:paraId="27639836">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4．货物安装所需的配件或附加件，在合同签订前由中标供应商提交具体清单给</w:t>
      </w:r>
      <w:r>
        <w:rPr>
          <w:rFonts w:hint="eastAsia" w:asciiTheme="minorEastAsia" w:hAnsiTheme="minorEastAsia" w:eastAsiaTheme="minorEastAsia" w:cstheme="minorEastAsia"/>
          <w:bCs/>
          <w:color w:val="auto"/>
          <w:sz w:val="24"/>
          <w:szCs w:val="24"/>
          <w:highlight w:val="none"/>
        </w:rPr>
        <w:t>使用</w:t>
      </w:r>
      <w:r>
        <w:rPr>
          <w:rFonts w:hint="eastAsia" w:asciiTheme="minorEastAsia" w:hAnsiTheme="minorEastAsia" w:eastAsiaTheme="minorEastAsia" w:cstheme="minorEastAsia"/>
          <w:color w:val="auto"/>
          <w:sz w:val="24"/>
          <w:szCs w:val="24"/>
          <w:highlight w:val="none"/>
        </w:rPr>
        <w:t>单位确认。</w:t>
      </w:r>
    </w:p>
    <w:p w14:paraId="7EBF33C9">
      <w:pPr>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5.投标人必须在投标文件中提供书面承诺函：中标后生产前，向使用单位确定所供货物的相关事项，经使用单位书面确认是否增减后方可投入生产。否则，由此产生的一切后果由中标供应商负责。（提供书面承诺函格式自拟）</w:t>
      </w:r>
    </w:p>
    <w:p w14:paraId="67A97815">
      <w:pPr>
        <w:pStyle w:val="7"/>
        <w:numPr>
          <w:ilvl w:val="0"/>
          <w:numId w:val="2"/>
        </w:num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货物初验：货物运抵采购单位指定地点后由</w:t>
      </w:r>
      <w:r>
        <w:rPr>
          <w:rFonts w:hint="eastAsia" w:asciiTheme="minorEastAsia" w:hAnsiTheme="minorEastAsia" w:eastAsiaTheme="minorEastAsia" w:cstheme="minorEastAsia"/>
          <w:bCs/>
          <w:color w:val="auto"/>
          <w:sz w:val="24"/>
          <w:szCs w:val="24"/>
          <w:highlight w:val="none"/>
        </w:rPr>
        <w:t>使用</w:t>
      </w:r>
      <w:r>
        <w:rPr>
          <w:rFonts w:hint="eastAsia" w:asciiTheme="minorEastAsia" w:hAnsiTheme="minorEastAsia" w:eastAsiaTheme="minorEastAsia" w:cstheme="minorEastAsia"/>
          <w:color w:val="auto"/>
          <w:sz w:val="24"/>
          <w:szCs w:val="24"/>
          <w:highlight w:val="none"/>
        </w:rPr>
        <w:t>单位对照采购清单对外观、包装及数量进行验收。到货初验时，中标供应商代表必须在场。同时，中标供应商必须提供货物的相关手续（品牌证书、装箱清单含货物的主附件、原产地证明书、品质保证书、出厂检验报告、合格证书、使用及维护说明书）。每件产品必须说明材质、规格、涂料、粘合剂等及是否含有毒、有害物质等情况。</w:t>
      </w:r>
    </w:p>
    <w:p w14:paraId="7E535CBB">
      <w:pPr>
        <w:ind w:firstLine="482"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lang w:bidi="ar"/>
        </w:rPr>
        <w:t>★7.投标人必须在投标文件中提供书面承诺函：一旦中标，在保证按招标文件中要求提供的产品数量进行供货</w:t>
      </w:r>
      <w:r>
        <w:rPr>
          <w:rFonts w:hint="eastAsia" w:asciiTheme="minorEastAsia" w:hAnsiTheme="minorEastAsia" w:eastAsiaTheme="minorEastAsia" w:cstheme="minorEastAsia"/>
          <w:b/>
          <w:color w:val="auto"/>
          <w:sz w:val="24"/>
          <w:szCs w:val="24"/>
          <w:highlight w:val="none"/>
          <w:lang w:eastAsia="zh-CN" w:bidi="ar"/>
        </w:rPr>
        <w:t>及安装、调试外，还应在产品安装、调试后根据使用单位要求</w:t>
      </w:r>
      <w:r>
        <w:rPr>
          <w:rFonts w:hint="eastAsia" w:asciiTheme="minorEastAsia" w:hAnsiTheme="minorEastAsia" w:eastAsiaTheme="minorEastAsia" w:cstheme="minorEastAsia"/>
          <w:b/>
          <w:color w:val="auto"/>
          <w:sz w:val="24"/>
          <w:szCs w:val="24"/>
          <w:highlight w:val="none"/>
          <w:lang w:bidi="ar"/>
        </w:rPr>
        <w:t>委托有资质的检测单位对家具进行检测（检测要求：检测数量不少于公寓楼房间数的3%，检测标准参照GB 50325-2020《民用建筑工程室内环境污染控制标准》，检测单位由使用单位确定，检测费用由中标供应商支付，供应商另行与检测单位订立服务合同，与本合同各自独立履行、互不影响）。经检测，如家具环保等指标达不到国家以及招标文件中的要求，中标供应商应在15个日历日内更换不合格的产品并经检测合格后交付使用单位；如未在规定时限内完成整改并交付检测合格的产品，中标供应商应按中标价的30%金额赔偿给使用单位。(提供书面承诺函格式自拟）</w:t>
      </w:r>
    </w:p>
    <w:p w14:paraId="67C6D561">
      <w:pPr>
        <w:pStyle w:val="7"/>
        <w:tabs>
          <w:tab w:val="left" w:pos="540"/>
        </w:tabs>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8.最终验收：学生入住前，</w:t>
      </w:r>
      <w:r>
        <w:rPr>
          <w:rFonts w:hint="eastAsia" w:asciiTheme="minorEastAsia" w:hAnsiTheme="minorEastAsia" w:eastAsiaTheme="minorEastAsia" w:cstheme="minorEastAsia"/>
          <w:color w:val="auto"/>
          <w:sz w:val="24"/>
          <w:szCs w:val="24"/>
          <w:highlight w:val="none"/>
          <w:lang w:eastAsia="zh-CN"/>
        </w:rPr>
        <w:t>使用单位</w:t>
      </w:r>
      <w:r>
        <w:rPr>
          <w:rFonts w:hint="eastAsia" w:asciiTheme="minorEastAsia" w:hAnsiTheme="minorEastAsia" w:eastAsiaTheme="minorEastAsia" w:cstheme="minorEastAsia"/>
          <w:color w:val="auto"/>
          <w:sz w:val="24"/>
          <w:szCs w:val="24"/>
          <w:highlight w:val="none"/>
        </w:rPr>
        <w:t>将再次委托第三方专业机构进行抽检复测，确保家具甲醛等有害物质含量达标。待性能指标经验收合格后（附验收报告），中标供应商应与采购单位共同签署《厦门市政府采购验收报告》。</w:t>
      </w:r>
    </w:p>
    <w:p w14:paraId="4C382072">
      <w:pPr>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9.投标人必须在投标文件中提供书面承诺函：一旦中标，在生产本次采购家具的过程中，邀请使用单位代表到工厂对产品从进料、开胚、上漆、成型等一系列生产程序进行检查、监督；使用单位根据合同进度可以采用书面函件形式要求投标人对生产情况合理改进，投标人应予                                                                                                                                                                                                                                      书面答复，并制定完整的整改措施。（提供书面承诺函格式自拟）</w:t>
      </w:r>
    </w:p>
    <w:p w14:paraId="15CA001B">
      <w:pPr>
        <w:pStyle w:val="7"/>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10.投标人不得虚报各项技术指标，中标产品若不能符合技术要求、招标文件及合同约定的，采购单位有权退货并单方解除合同，中标供应商除退还所有的货款外，还应向支付合同总价30%的违约金。</w:t>
      </w:r>
    </w:p>
    <w:p w14:paraId="598C216C">
      <w:pPr>
        <w:pStyle w:val="7"/>
        <w:spacing w:line="360" w:lineRule="auto"/>
        <w:ind w:firstLine="480" w:firstLineChars="200"/>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b w:val="0"/>
          <w:bCs w:val="0"/>
          <w:color w:val="auto"/>
          <w:sz w:val="24"/>
          <w:szCs w:val="24"/>
          <w:highlight w:val="none"/>
          <w:lang w:val="en-US" w:eastAsia="zh-CN"/>
        </w:rPr>
        <w:t>11.</w:t>
      </w:r>
      <w:r>
        <w:rPr>
          <w:rFonts w:hint="eastAsia" w:asciiTheme="minorEastAsia" w:hAnsiTheme="minorEastAsia" w:eastAsiaTheme="minorEastAsia" w:cstheme="minorEastAsia"/>
          <w:b w:val="0"/>
          <w:bCs w:val="0"/>
          <w:color w:val="auto"/>
          <w:sz w:val="24"/>
          <w:szCs w:val="24"/>
          <w:highlight w:val="none"/>
        </w:rPr>
        <w:t>中标供应商应在</w:t>
      </w:r>
      <w:r>
        <w:rPr>
          <w:rFonts w:hint="eastAsia" w:asciiTheme="minorEastAsia" w:hAnsiTheme="minorEastAsia" w:eastAsiaTheme="minorEastAsia" w:cstheme="minorEastAsia"/>
          <w:b w:val="0"/>
          <w:bCs w:val="0"/>
          <w:color w:val="auto"/>
          <w:sz w:val="24"/>
          <w:szCs w:val="24"/>
          <w:highlight w:val="none"/>
          <w:lang w:eastAsia="zh-CN"/>
        </w:rPr>
        <w:t>合同签订后</w:t>
      </w:r>
      <w:r>
        <w:rPr>
          <w:rFonts w:hint="eastAsia" w:asciiTheme="minorEastAsia" w:hAnsiTheme="minorEastAsia" w:eastAsiaTheme="minorEastAsia" w:cstheme="minorEastAsia"/>
          <w:b w:val="0"/>
          <w:bCs w:val="0"/>
          <w:color w:val="auto"/>
          <w:sz w:val="24"/>
          <w:szCs w:val="24"/>
          <w:highlight w:val="none"/>
        </w:rPr>
        <w:t>3个工作日内提供检测报告原件。如中标供应商无法提供检测报告原件，或者发现中标供应商提供的检测报告原件与</w:t>
      </w:r>
      <w:r>
        <w:rPr>
          <w:rFonts w:hint="eastAsia" w:asciiTheme="minorEastAsia" w:hAnsiTheme="minorEastAsia" w:eastAsiaTheme="minorEastAsia" w:cstheme="minorEastAsia"/>
          <w:b w:val="0"/>
          <w:bCs w:val="0"/>
          <w:color w:val="auto"/>
          <w:sz w:val="24"/>
          <w:szCs w:val="24"/>
          <w:highlight w:val="none"/>
          <w:lang w:eastAsia="zh-CN"/>
        </w:rPr>
        <w:t>复印件（含扫描件）</w:t>
      </w:r>
      <w:r>
        <w:rPr>
          <w:rFonts w:hint="eastAsia" w:asciiTheme="minorEastAsia" w:hAnsiTheme="minorEastAsia" w:eastAsiaTheme="minorEastAsia" w:cstheme="minorEastAsia"/>
          <w:b w:val="0"/>
          <w:bCs w:val="0"/>
          <w:color w:val="auto"/>
          <w:sz w:val="24"/>
          <w:szCs w:val="24"/>
          <w:highlight w:val="none"/>
        </w:rPr>
        <w:t>不一致，或者经查询发现检测报告存在造假情形的，采购单位有权单方解除合同，中标供应商还应支付合同总价30%的违约金</w:t>
      </w:r>
      <w:r>
        <w:rPr>
          <w:rFonts w:hint="eastAsia" w:asciiTheme="minorEastAsia" w:hAnsiTheme="minorEastAsia" w:eastAsiaTheme="minorEastAsia" w:cstheme="minorEastAsia"/>
          <w:b w:val="0"/>
          <w:bCs w:val="0"/>
          <w:color w:val="auto"/>
          <w:sz w:val="24"/>
          <w:szCs w:val="24"/>
          <w:highlight w:val="none"/>
          <w:lang w:eastAsia="zh-CN"/>
        </w:rPr>
        <w:t>给使用单位</w:t>
      </w:r>
      <w:r>
        <w:rPr>
          <w:rFonts w:hint="eastAsia" w:asciiTheme="minorEastAsia" w:hAnsiTheme="minorEastAsia" w:eastAsiaTheme="minorEastAsia" w:cstheme="minorEastAsia"/>
          <w:b w:val="0"/>
          <w:bCs w:val="0"/>
          <w:color w:val="auto"/>
          <w:sz w:val="24"/>
          <w:szCs w:val="24"/>
          <w:highlight w:val="none"/>
        </w:rPr>
        <w:t>。</w:t>
      </w:r>
    </w:p>
    <w:p w14:paraId="6FA2A52E">
      <w:pPr>
        <w:spacing w:line="360" w:lineRule="auto"/>
        <w:ind w:left="-178" w:leftChars="-85" w:right="359" w:rightChars="171" w:firstLine="361" w:firstLineChars="150"/>
        <w:jc w:val="left"/>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六、货物技术服务要求</w:t>
      </w:r>
    </w:p>
    <w:p w14:paraId="3F22E7CB">
      <w:pPr>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★1.投标人应在投标文件中提供的质量保证期及售后服务承诺，并加盖单位公章。承诺至少应包含以下内容①所有货物质量保证期至少为3年，自最终验收合格之日起算；②所有货物如无特别指明售后服务要求,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提供书面承诺函，格式自拟】</w:t>
      </w:r>
    </w:p>
    <w:p w14:paraId="7784EAB4">
      <w:pPr>
        <w:numPr>
          <w:ilvl w:val="255"/>
          <w:numId w:val="0"/>
        </w:numPr>
        <w:ind w:left="51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bCs/>
          <w:color w:val="auto"/>
          <w:sz w:val="24"/>
          <w:szCs w:val="24"/>
          <w:highlight w:val="none"/>
        </w:rPr>
        <w:t>★2.投标人书面承诺：无挂靠、借用资质或提供虚假材料参加本项目，没有与其他供应商或采购代理机构相互串通，一旦成交，不得转包或违规分包。一经发现，采购人有权取消中标供应商的成交资格，或认定其成交无效，或提前解除合同,并追究中标供应商的相关责任（包括但不限于不予退还保证金、履约保证金、支付预算总额的千分之五以上千分之十以下作为违约金或赔偿采购人因此遭受的全部损失、禁止其1-3年内参加采购人组织的非政府采购项目等）。投标人须针对上述要求提供相应的书面承诺</w:t>
      </w:r>
      <w:r>
        <w:rPr>
          <w:rFonts w:hint="eastAsia" w:asciiTheme="minorEastAsia" w:hAnsiTheme="minorEastAsia" w:eastAsiaTheme="minorEastAsia" w:cstheme="minorEastAsia"/>
          <w:b/>
          <w:color w:val="auto"/>
          <w:sz w:val="24"/>
          <w:szCs w:val="24"/>
          <w:highlight w:val="none"/>
        </w:rPr>
        <w:t>函，格式自拟。</w:t>
      </w:r>
    </w:p>
    <w:p w14:paraId="1ACB34C5">
      <w:pPr>
        <w:numPr>
          <w:ilvl w:val="255"/>
          <w:numId w:val="0"/>
        </w:num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.投标人能长期提供良好的技术支持及备品备件的优惠供应。</w:t>
      </w:r>
    </w:p>
    <w:p w14:paraId="2B966D4C">
      <w:pPr>
        <w:pStyle w:val="7"/>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4</w:t>
      </w:r>
      <w:r>
        <w:rPr>
          <w:rFonts w:hint="eastAsia" w:asciiTheme="minorEastAsia" w:hAnsiTheme="minorEastAsia" w:eastAsiaTheme="minorEastAsia" w:cstheme="minorEastAsia"/>
          <w:color w:val="auto"/>
          <w:sz w:val="24"/>
          <w:szCs w:val="24"/>
          <w:highlight w:val="none"/>
        </w:rPr>
        <w:t>.投标人如有其它更好的售后服务应在方案中书面声明。</w:t>
      </w:r>
    </w:p>
    <w:p w14:paraId="35AB6179">
      <w:pPr>
        <w:spacing w:line="360" w:lineRule="auto"/>
        <w:ind w:right="359" w:rightChars="171"/>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七、货物报价</w:t>
      </w:r>
    </w:p>
    <w:p w14:paraId="5B49C640">
      <w:pPr>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1.投标人须以人民币报价且总报价应含货物费、运至采购单位指定地点的运输费、保险费和伴随服务费（包括产品检验检测）、安装调试（包括安装所需的辅材、配件等）费用、税收及售后服务等一切费用，报价方式为指定目的地价。采购单位不接受有选择的报价。</w:t>
      </w:r>
    </w:p>
    <w:p w14:paraId="44329D1C">
      <w:pPr>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★2.本项目采购最高限价为人民币696万元，投标人的报价不得超过以上最高限价，否则将按无效投标处理。</w:t>
      </w:r>
    </w:p>
    <w:p w14:paraId="7D8A646E">
      <w:pPr>
        <w:spacing w:line="360" w:lineRule="auto"/>
        <w:ind w:firstLine="496" w:firstLineChars="200"/>
        <w:rPr>
          <w:rFonts w:hint="eastAsia" w:asciiTheme="minorEastAsia" w:hAnsiTheme="minorEastAsia" w:eastAsiaTheme="minorEastAsia" w:cstheme="minorEastAsia"/>
          <w:bCs/>
          <w:color w:val="auto"/>
          <w:sz w:val="24"/>
          <w:szCs w:val="24"/>
          <w:highlight w:val="none"/>
        </w:rPr>
      </w:pPr>
      <w:r>
        <w:rPr>
          <w:rFonts w:hint="eastAsia" w:asciiTheme="minorEastAsia" w:hAnsiTheme="minorEastAsia" w:eastAsiaTheme="minorEastAsia" w:cstheme="minorEastAsia"/>
          <w:bCs/>
          <w:color w:val="auto"/>
          <w:spacing w:val="4"/>
          <w:sz w:val="24"/>
          <w:szCs w:val="24"/>
          <w:highlight w:val="none"/>
        </w:rPr>
        <w:t>3、</w:t>
      </w:r>
      <w:r>
        <w:rPr>
          <w:rFonts w:hint="eastAsia" w:asciiTheme="minorEastAsia" w:hAnsiTheme="minorEastAsia" w:eastAsiaTheme="minorEastAsia" w:cstheme="minorEastAsia"/>
          <w:bCs/>
          <w:color w:val="auto"/>
          <w:sz w:val="24"/>
          <w:szCs w:val="24"/>
          <w:highlight w:val="none"/>
        </w:rPr>
        <w:t>报价应分单价、小计、总价。</w:t>
      </w:r>
    </w:p>
    <w:p w14:paraId="28F01D12">
      <w:pPr>
        <w:spacing w:line="360" w:lineRule="auto"/>
        <w:ind w:right="359" w:rightChars="171"/>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八、付款方式</w:t>
      </w:r>
    </w:p>
    <w:p w14:paraId="16063739">
      <w:pPr>
        <w:adjustRightInd w:val="0"/>
        <w:snapToGrid w:val="0"/>
        <w:spacing w:line="360" w:lineRule="auto"/>
        <w:ind w:firstLine="482"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lang w:bidi="ar"/>
        </w:rPr>
        <w:t>具体</w:t>
      </w:r>
      <w:r>
        <w:rPr>
          <w:rFonts w:hint="eastAsia" w:asciiTheme="minorEastAsia" w:hAnsiTheme="minorEastAsia" w:eastAsiaTheme="minorEastAsia" w:cstheme="minorEastAsia"/>
          <w:b/>
          <w:bCs/>
          <w:color w:val="auto"/>
          <w:sz w:val="24"/>
          <w:szCs w:val="24"/>
          <w:highlight w:val="none"/>
        </w:rPr>
        <w:t>以合同签订为准“详见：第四章  政府采购合同”。</w:t>
      </w:r>
    </w:p>
    <w:p w14:paraId="635BB172">
      <w:pPr>
        <w:spacing w:line="360" w:lineRule="auto"/>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九、履约保证金</w:t>
      </w:r>
    </w:p>
    <w:p w14:paraId="3866477A">
      <w:pPr>
        <w:spacing w:line="360" w:lineRule="auto"/>
        <w:ind w:firstLine="470" w:firstLineChars="196"/>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合同签订后7个工作日内，中标供应商向采购人支付合同总价的3%作为项目履约保证金，履约保证金可以转账、支票、汇票、本票或金融机构、担保机构出具的保函等形式交纳，且在合同签订时一并提交，质量保证期届满且无合同纠纷后7个工作日内，向中标/成交供应商无息返还合同总价的3%履约保证金。【本项目属于专门面向小微企业采购的项目，3%属于优惠后的履约保证金比例】</w:t>
      </w:r>
    </w:p>
    <w:p w14:paraId="634E14F7">
      <w:pPr>
        <w:spacing w:line="360" w:lineRule="auto"/>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十、合同签订</w:t>
      </w:r>
    </w:p>
    <w:p w14:paraId="5866C226">
      <w:pPr>
        <w:spacing w:line="360" w:lineRule="auto"/>
        <w:ind w:firstLine="470" w:firstLineChars="196"/>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1.中标供应商接到中标通知书后20个日历日内，持中标通知书与采购单位签订合同。</w:t>
      </w:r>
    </w:p>
    <w:p w14:paraId="10B92D46">
      <w:pPr>
        <w:spacing w:line="360" w:lineRule="auto"/>
        <w:ind w:firstLine="378"/>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2.招标文件、投标文件均作为合同订立的基础，为合同组成部分。</w:t>
      </w:r>
    </w:p>
    <w:p w14:paraId="7AA222F3">
      <w:pPr>
        <w:widowControl/>
        <w:spacing w:line="360" w:lineRule="auto"/>
        <w:ind w:right="-63" w:rightChars="-30"/>
        <w:jc w:val="left"/>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十一、踏勘内容及要求</w:t>
      </w:r>
    </w:p>
    <w:p w14:paraId="5E017864">
      <w:pPr>
        <w:spacing w:line="360" w:lineRule="auto"/>
        <w:ind w:firstLine="480" w:firstLineChars="200"/>
        <w:rPr>
          <w:rStyle w:val="21"/>
          <w:rFonts w:hint="default" w:asciiTheme="minorEastAsia" w:hAnsiTheme="minorEastAsia" w:eastAsiaTheme="minorEastAsia" w:cstheme="minorEastAsia"/>
          <w:bCs/>
          <w:color w:val="auto"/>
          <w:highlight w:val="none"/>
        </w:rPr>
      </w:pPr>
      <w:r>
        <w:rPr>
          <w:rStyle w:val="21"/>
          <w:rFonts w:asciiTheme="minorEastAsia" w:hAnsiTheme="minorEastAsia" w:eastAsiaTheme="minorEastAsia" w:cstheme="minorEastAsia"/>
          <w:bCs/>
          <w:color w:val="auto"/>
          <w:highlight w:val="none"/>
        </w:rPr>
        <w:t>1.本项目采购人不组织现场踏勘，如有需要自行踏勘。地点为：厦门理工学院六期学生公寓 。现场踏勘联系人：林秋云老师05926291158。</w:t>
      </w:r>
    </w:p>
    <w:p w14:paraId="4B4DECEB">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Style w:val="21"/>
          <w:rFonts w:asciiTheme="minorEastAsia" w:hAnsiTheme="minorEastAsia" w:eastAsiaTheme="minorEastAsia" w:cstheme="minorEastAsia"/>
          <w:color w:val="auto"/>
          <w:highlight w:val="none"/>
        </w:rPr>
        <w:t>2.投标人及其人员经过现场管理人员的允许，可以踏勘为目的进入采购人的项目现场，但投标人及其人员不得因此使采购人及其人员承担有关的责任和蒙受损失。投标人并应对由此次踏勘现场而造成的死亡、人身伤害、财产损失、损害以及任何其它损失、损害和引起的费用和开支承担责任。</w:t>
      </w:r>
    </w:p>
    <w:p w14:paraId="296B43B3">
      <w:pPr>
        <w:widowControl/>
        <w:spacing w:line="360" w:lineRule="auto"/>
        <w:ind w:right="-63" w:rightChars="-30"/>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rPr>
        <w:t xml:space="preserve">十二、其他事项 </w:t>
      </w:r>
    </w:p>
    <w:p w14:paraId="64B0720B">
      <w:pPr>
        <w:spacing w:line="360" w:lineRule="auto"/>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★1.交付使用期：合同签订后90个工作日生产完成，8月20日前安装到位。【投标人需在投标文件中响应满足上述条款要求】</w:t>
      </w:r>
    </w:p>
    <w:p w14:paraId="28B83B0C">
      <w:pPr>
        <w:spacing w:line="360" w:lineRule="auto"/>
        <w:ind w:firstLine="482"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rPr>
        <w:t>2</w:t>
      </w:r>
      <w:r>
        <w:rPr>
          <w:rFonts w:hint="eastAsia" w:asciiTheme="minorEastAsia" w:hAnsiTheme="minorEastAsia" w:eastAsiaTheme="minorEastAsia" w:cstheme="minorEastAsia"/>
          <w:color w:val="auto"/>
          <w:sz w:val="24"/>
          <w:szCs w:val="24"/>
          <w:highlight w:val="none"/>
        </w:rPr>
        <w:t>.投标人提供公司的基本情况、业绩、主要技术人员及资信证明。</w:t>
      </w:r>
    </w:p>
    <w:p w14:paraId="5851ABF0">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3．投标人在投标文件中详细说明所投货物的技术水平、性能等(材质构成、内外部结构、五金配件、制造工艺、生产流程、加工设备及其它)。</w:t>
      </w:r>
    </w:p>
    <w:p w14:paraId="78AD8993">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4．附件及零配件：投标人应列出备品/备件及附件的清单及价格。</w:t>
      </w:r>
    </w:p>
    <w:p w14:paraId="066EBFCD">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5．投标人认为有必要提供的其它技术资料。</w:t>
      </w:r>
    </w:p>
    <w:p w14:paraId="51CCD1ED">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6．投标人若有其它方面的特殊功能及优惠条件，可在投标文件中注明。</w:t>
      </w:r>
    </w:p>
    <w:p w14:paraId="3B31D6FC">
      <w:pPr>
        <w:spacing w:line="360" w:lineRule="auto"/>
        <w:ind w:firstLine="480" w:firstLineChars="200"/>
        <w:rPr>
          <w:rFonts w:hint="eastAsia" w:asciiTheme="minorEastAsia" w:hAnsiTheme="minorEastAsia" w:eastAsiaTheme="minorEastAsia" w:cstheme="minorEastAsia"/>
          <w:bCs w:val="0"/>
          <w:color w:val="auto"/>
          <w:sz w:val="24"/>
          <w:szCs w:val="24"/>
          <w:highlight w:val="none"/>
        </w:rPr>
      </w:pPr>
      <w:r>
        <w:rPr>
          <w:rFonts w:hint="eastAsia" w:asciiTheme="minorEastAsia" w:hAnsiTheme="minorEastAsia" w:eastAsiaTheme="minorEastAsia" w:cstheme="minorEastAsia"/>
          <w:bCs/>
          <w:color w:val="auto"/>
          <w:sz w:val="24"/>
          <w:szCs w:val="24"/>
          <w:highlight w:val="none"/>
        </w:rPr>
        <w:t>7</w:t>
      </w:r>
      <w:r>
        <w:rPr>
          <w:rFonts w:hint="eastAsia" w:asciiTheme="minorEastAsia" w:hAnsiTheme="minorEastAsia" w:eastAsiaTheme="minorEastAsia" w:cstheme="minorEastAsia"/>
          <w:color w:val="auto"/>
          <w:sz w:val="24"/>
          <w:szCs w:val="24"/>
          <w:highlight w:val="none"/>
        </w:rPr>
        <w:t>．如</w:t>
      </w:r>
      <w:r>
        <w:rPr>
          <w:rFonts w:hint="eastAsia" w:asciiTheme="minorEastAsia" w:hAnsiTheme="minorEastAsia" w:eastAsiaTheme="minorEastAsia" w:cstheme="minorEastAsia"/>
          <w:bCs/>
          <w:color w:val="auto"/>
          <w:sz w:val="24"/>
          <w:szCs w:val="24"/>
          <w:highlight w:val="none"/>
        </w:rPr>
        <w:t>采购单位对采购数量有所调整，将按中标单价调整合同总价，中标供应商不得有异议。如款式及型号有所变动必须经采购单位书面确认，涉及单价变动的以中标单价为基准，由采购单位和中标供应商</w:t>
      </w:r>
      <w:r>
        <w:rPr>
          <w:rFonts w:hint="eastAsia" w:asciiTheme="minorEastAsia" w:hAnsiTheme="minorEastAsia" w:eastAsiaTheme="minorEastAsia" w:cstheme="minorEastAsia"/>
          <w:bCs w:val="0"/>
          <w:color w:val="auto"/>
          <w:sz w:val="24"/>
          <w:szCs w:val="24"/>
          <w:highlight w:val="none"/>
        </w:rPr>
        <w:t>协商确定。</w:t>
      </w:r>
    </w:p>
    <w:p w14:paraId="00AB5895">
      <w:pPr>
        <w:numPr>
          <w:ilvl w:val="-1"/>
          <w:numId w:val="0"/>
        </w:numPr>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8、</w:t>
      </w:r>
      <w:r>
        <w:rPr>
          <w:rFonts w:hint="eastAsia" w:asciiTheme="minorEastAsia" w:hAnsiTheme="minorEastAsia" w:eastAsiaTheme="minorEastAsia" w:cstheme="minorEastAsia"/>
          <w:color w:val="auto"/>
          <w:sz w:val="24"/>
          <w:szCs w:val="24"/>
          <w:highlight w:val="none"/>
        </w:rPr>
        <w:t>投标人具</w:t>
      </w:r>
      <w:r>
        <w:rPr>
          <w:rFonts w:hint="eastAsia" w:asciiTheme="minorEastAsia" w:hAnsiTheme="minorEastAsia" w:eastAsiaTheme="minorEastAsia" w:cstheme="minorEastAsia"/>
          <w:color w:val="auto"/>
          <w:kern w:val="2"/>
          <w:sz w:val="24"/>
          <w:szCs w:val="24"/>
          <w:highlight w:val="none"/>
        </w:rPr>
        <w:t>有有效期内的</w:t>
      </w:r>
      <w:r>
        <w:rPr>
          <w:rFonts w:hint="eastAsia" w:asciiTheme="minorEastAsia" w:hAnsiTheme="minorEastAsia" w:eastAsiaTheme="minorEastAsia" w:cstheme="minorEastAsia"/>
          <w:color w:val="auto"/>
          <w:sz w:val="24"/>
          <w:szCs w:val="24"/>
          <w:highlight w:val="none"/>
        </w:rPr>
        <w:t>质量管理体系认证、环境管理体系认证、职业健康安全管理体系认证</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五星级《售后服务认证证书》，所提供的证书覆盖范围包含：</w:t>
      </w:r>
      <w:r>
        <w:rPr>
          <w:rFonts w:hint="eastAsia" w:asciiTheme="minorEastAsia" w:hAnsiTheme="minorEastAsia" w:eastAsiaTheme="minorEastAsia" w:cstheme="minorEastAsia"/>
          <w:color w:val="auto"/>
          <w:sz w:val="24"/>
          <w:szCs w:val="24"/>
          <w:highlight w:val="none"/>
          <w:lang w:val="en-US" w:eastAsia="zh-CN"/>
        </w:rPr>
        <w:t>公寓家具（例如：</w:t>
      </w:r>
      <w:r>
        <w:rPr>
          <w:rFonts w:hint="eastAsia" w:asciiTheme="minorEastAsia" w:hAnsiTheme="minorEastAsia" w:eastAsiaTheme="minorEastAsia" w:cstheme="minorEastAsia"/>
          <w:color w:val="auto"/>
          <w:sz w:val="24"/>
          <w:szCs w:val="24"/>
          <w:highlight w:val="none"/>
        </w:rPr>
        <w:t>学生公寓家具</w:t>
      </w:r>
      <w:r>
        <w:rPr>
          <w:rFonts w:hint="eastAsia" w:asciiTheme="minorEastAsia" w:hAnsiTheme="minorEastAsia" w:eastAsiaTheme="minorEastAsia" w:cstheme="minorEastAsia"/>
          <w:color w:val="auto"/>
          <w:sz w:val="24"/>
          <w:szCs w:val="24"/>
          <w:highlight w:val="none"/>
          <w:lang w:val="en-US" w:eastAsia="zh-CN"/>
        </w:rPr>
        <w:t>或</w:t>
      </w:r>
      <w:r>
        <w:rPr>
          <w:rFonts w:hint="eastAsia" w:asciiTheme="minorEastAsia" w:hAnsiTheme="minorEastAsia" w:eastAsiaTheme="minorEastAsia" w:cstheme="minorEastAsia"/>
          <w:color w:val="auto"/>
          <w:sz w:val="24"/>
          <w:szCs w:val="24"/>
          <w:highlight w:val="none"/>
        </w:rPr>
        <w:t>组合式公寓家具</w:t>
      </w:r>
      <w:r>
        <w:rPr>
          <w:rFonts w:hint="eastAsia" w:asciiTheme="minorEastAsia" w:hAnsiTheme="minorEastAsia" w:eastAsiaTheme="minorEastAsia" w:cstheme="minorEastAsia"/>
          <w:color w:val="auto"/>
          <w:sz w:val="24"/>
          <w:szCs w:val="24"/>
          <w:highlight w:val="none"/>
          <w:lang w:eastAsia="zh-CN"/>
        </w:rPr>
        <w:t>等</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中国绿色产品认证证书，产品标准/技术要求： GB/T 35607-2024，且证书产品名称包含：木家具（人造板家具）</w:t>
      </w:r>
      <w:r>
        <w:rPr>
          <w:rFonts w:hint="eastAsia" w:asciiTheme="minorEastAsia" w:hAnsiTheme="minorEastAsia" w:eastAsiaTheme="minorEastAsia" w:cstheme="minorEastAsia"/>
          <w:color w:val="auto"/>
          <w:sz w:val="24"/>
          <w:szCs w:val="24"/>
          <w:highlight w:val="none"/>
          <w:lang w:val="en-US" w:eastAsia="zh-CN"/>
        </w:rPr>
        <w:t>或</w:t>
      </w:r>
      <w:r>
        <w:rPr>
          <w:rFonts w:hint="eastAsia" w:asciiTheme="minorEastAsia" w:hAnsiTheme="minorEastAsia" w:eastAsiaTheme="minorEastAsia" w:cstheme="minorEastAsia"/>
          <w:color w:val="auto"/>
          <w:sz w:val="24"/>
          <w:szCs w:val="24"/>
          <w:highlight w:val="none"/>
        </w:rPr>
        <w:t>金属家具</w:t>
      </w:r>
      <w:r>
        <w:rPr>
          <w:rFonts w:hint="eastAsia" w:asciiTheme="minorEastAsia" w:hAnsiTheme="minorEastAsia" w:eastAsiaTheme="minorEastAsia" w:cstheme="minorEastAsia"/>
          <w:color w:val="auto"/>
          <w:sz w:val="24"/>
          <w:szCs w:val="24"/>
          <w:highlight w:val="none"/>
          <w:lang w:eastAsia="zh-CN"/>
        </w:rPr>
        <w:t>。</w:t>
      </w:r>
    </w:p>
    <w:p w14:paraId="366130E6">
      <w:pPr>
        <w:numPr>
          <w:ilvl w:val="-1"/>
          <w:numId w:val="0"/>
        </w:numPr>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9、</w:t>
      </w:r>
      <w:r>
        <w:rPr>
          <w:rFonts w:hint="eastAsia" w:asciiTheme="minorEastAsia" w:hAnsiTheme="minorEastAsia" w:eastAsiaTheme="minorEastAsia" w:cstheme="minorEastAsia"/>
          <w:color w:val="auto"/>
          <w:sz w:val="24"/>
          <w:szCs w:val="24"/>
          <w:highlight w:val="none"/>
        </w:rPr>
        <w:t>投标人提供2022年1月1日至</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rPr>
        <w:t>截止的同类项目</w:t>
      </w:r>
      <w:r>
        <w:rPr>
          <w:rFonts w:hint="eastAsia" w:asciiTheme="minorEastAsia" w:hAnsiTheme="minorEastAsia" w:eastAsiaTheme="minorEastAsia" w:cstheme="minorEastAsia"/>
          <w:color w:val="auto"/>
          <w:kern w:val="2"/>
          <w:sz w:val="24"/>
          <w:szCs w:val="24"/>
          <w:highlight w:val="none"/>
          <w:lang w:bidi="ar"/>
        </w:rPr>
        <w:t>（学生宿舍用家具，至少包括组合式公寓家具或公寓组合床或公寓床）</w:t>
      </w:r>
      <w:r>
        <w:rPr>
          <w:rFonts w:hint="eastAsia" w:asciiTheme="minorEastAsia" w:hAnsiTheme="minorEastAsia" w:eastAsiaTheme="minorEastAsia" w:cstheme="minorEastAsia"/>
          <w:color w:val="auto"/>
          <w:sz w:val="24"/>
          <w:szCs w:val="24"/>
          <w:highlight w:val="none"/>
        </w:rPr>
        <w:t>的业绩</w:t>
      </w:r>
      <w:r>
        <w:rPr>
          <w:rFonts w:hint="eastAsia" w:asciiTheme="minorEastAsia" w:hAnsiTheme="minorEastAsia" w:eastAsiaTheme="minorEastAsia" w:cstheme="minorEastAsia"/>
          <w:color w:val="auto"/>
          <w:sz w:val="24"/>
          <w:szCs w:val="24"/>
          <w:highlight w:val="none"/>
          <w:lang w:eastAsia="zh-CN"/>
        </w:rPr>
        <w:t>。</w:t>
      </w:r>
    </w:p>
    <w:p w14:paraId="506B2CE1">
      <w:pPr>
        <w:numPr>
          <w:ilvl w:val="-1"/>
          <w:numId w:val="0"/>
        </w:numPr>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10、投标人</w:t>
      </w:r>
      <w:r>
        <w:rPr>
          <w:rFonts w:hint="eastAsia" w:asciiTheme="minorEastAsia" w:hAnsiTheme="minorEastAsia" w:eastAsiaTheme="minorEastAsia" w:cstheme="minorEastAsia"/>
          <w:color w:val="auto"/>
          <w:sz w:val="24"/>
          <w:szCs w:val="24"/>
          <w:highlight w:val="none"/>
        </w:rPr>
        <w:t>提供的202</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年1月1日至</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rPr>
        <w:t>截止（以合同签订时间为准）同类项目</w:t>
      </w:r>
      <w:r>
        <w:rPr>
          <w:rFonts w:hint="eastAsia" w:asciiTheme="minorEastAsia" w:hAnsiTheme="minorEastAsia" w:eastAsiaTheme="minorEastAsia" w:cstheme="minorEastAsia"/>
          <w:color w:val="auto"/>
          <w:kern w:val="2"/>
          <w:sz w:val="24"/>
          <w:szCs w:val="24"/>
          <w:highlight w:val="none"/>
          <w:lang w:bidi="ar"/>
        </w:rPr>
        <w:t>（学生宿舍用家具，至少包括组合式公寓家具或公寓组合床或公寓床）</w:t>
      </w:r>
      <w:r>
        <w:rPr>
          <w:rFonts w:hint="eastAsia" w:asciiTheme="minorEastAsia" w:hAnsiTheme="minorEastAsia" w:eastAsiaTheme="minorEastAsia" w:cstheme="minorEastAsia"/>
          <w:color w:val="auto"/>
          <w:sz w:val="24"/>
          <w:szCs w:val="24"/>
          <w:highlight w:val="none"/>
        </w:rPr>
        <w:t>业绩</w:t>
      </w:r>
    </w:p>
    <w:p w14:paraId="30551F68">
      <w:pPr>
        <w:spacing w:line="360" w:lineRule="auto"/>
        <w:ind w:firstLine="480"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Cs/>
          <w:color w:val="auto"/>
          <w:sz w:val="24"/>
          <w:szCs w:val="24"/>
          <w:highlight w:val="none"/>
          <w:lang w:val="en-US" w:eastAsia="zh-CN"/>
        </w:rPr>
        <w:t>11</w:t>
      </w:r>
      <w:r>
        <w:rPr>
          <w:rFonts w:hint="eastAsia" w:asciiTheme="minorEastAsia" w:hAnsiTheme="minorEastAsia" w:eastAsiaTheme="minorEastAsia" w:cstheme="minorEastAsia"/>
          <w:b/>
          <w:bCs/>
          <w:color w:val="auto"/>
          <w:sz w:val="24"/>
          <w:szCs w:val="24"/>
          <w:highlight w:val="none"/>
        </w:rPr>
        <w:t>.核心产品：本次采购项目的核心产品为“组合式公寓床-木家具”。</w:t>
      </w:r>
    </w:p>
    <w:p w14:paraId="17C9A181">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注：1、同一品牌认定标准：如果有多家投标人所投核心产品为同一品牌，只能视为一家，此外其他情形均不认定为同品牌。（备注：核心产品中只要有一个货物同品牌，就必须认定为同品牌）。</w:t>
      </w:r>
    </w:p>
    <w:p w14:paraId="126ACF3D">
      <w:pPr>
        <w:widowControl/>
        <w:spacing w:line="360" w:lineRule="auto"/>
        <w:ind w:right="-63" w:rightChars="-30"/>
        <w:jc w:val="left"/>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十三、违约责任</w:t>
      </w:r>
    </w:p>
    <w:p w14:paraId="60B12D4B">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标人不得单方放弃中标，因中标供应商原因造成采购合同无法按时签订的，视为中标供应商违约，采购人有权追究其相关法律责任（包括但不限于上报市财政局采监处备案、列入采购人的供应商不诚信名单、三年内禁止参加采购人组织的非政府采购项目、上报市财政局采监处等）。</w:t>
      </w:r>
    </w:p>
    <w:p w14:paraId="3E62B20B">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4.2 在签订采购合同之后，中标供应商要求解除合同的，视为中标供应商违约，采购人有权不予退还履约保证金，并追究其相关法律责任（包括但不限于要求其支付合同总价的30%作为违约金或赔偿采购人因此遭受的全部损失，上报市财政局采监处等）。</w:t>
      </w:r>
    </w:p>
    <w:p w14:paraId="209E3159">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4.3 如采购人在合同履行过程中，发现中标供应商实际提供的服务不符合投标文件的，采购人有权解除采购合同，要求中标供应商退还已收合同价款，不予退还其履约保证金，并追究其相关法律责任（包括但不限于要求其支付合同总价的30%作为违约金或赔偿采购人因此遭受的全部损失，上报市财政局采监处等）。</w:t>
      </w:r>
    </w:p>
    <w:p w14:paraId="09070A50">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4.4 若经验收不合格或者中标供应商原本承诺“支持”、“满足”，后经验证无法满足的，采购人将根据采购项目具体的情况给予一周时间（或经采购人书面确认的更长时间内）的整改；整改后仍不合格的，采购人有权解除采购合同，要求中标供应商退还已收合同款，不予退还其履约保证金，并追究其相关法律责任（包括但不限于要求其支付合同总价的30%作为违约金或赔偿采购人因此遭受的全部损失，列入采购人的供应商不诚信名单上报市财政局采监处等）。</w:t>
      </w:r>
    </w:p>
    <w:p w14:paraId="54BFE5C1">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4.5因投标人原因导致交付延迟，每延迟一日，投标人应按照合同总金额的 0.1%向采购人支付违约金。如遇不可抗力因素影响交付，投标人应在不可抗力事件发生后 24 小时内书面通知采购人，并提供相关证明文件，双方协商确定新的交付时间。</w:t>
      </w:r>
    </w:p>
    <w:p w14:paraId="4BBF6BC2">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4.6合同期内，日常管理中中标供应商不服从使用单位管理或未按招标文件要求履行服务的，每出现一次，需支付人民币1000元作为违约金。采购人或使用单位有权从履约保证金中直接扣除，若在合同期内，履约保证金被扣除的，中标供应商应在5个工作日内补足。</w:t>
      </w:r>
    </w:p>
    <w:p w14:paraId="30FD27C0">
      <w:pPr>
        <w:pStyle w:val="7"/>
        <w:spacing w:line="360" w:lineRule="auto"/>
        <w:ind w:firstLine="482" w:firstLineChars="200"/>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b/>
          <w:color w:val="auto"/>
          <w:sz w:val="24"/>
          <w:szCs w:val="24"/>
          <w:highlight w:val="none"/>
          <w:lang w:bidi="ar"/>
        </w:rPr>
        <w:t>4.7 经检测，如家具环保等指标达不到国家以及招标文件中的要求，中标供应商应在15个日历日内更换不合格的产品并经检测合格后交付使用单位；如未在规定时限内完成整改并交付检测合格的产品，中标供应商应按中标价的30%金额赔偿给使用单位。</w:t>
      </w:r>
    </w:p>
    <w:p w14:paraId="31B8B98F">
      <w:pPr>
        <w:spacing w:line="360" w:lineRule="auto"/>
        <w:ind w:firstLine="482" w:firstLineChars="200"/>
        <w:rPr>
          <w:rFonts w:hint="eastAsia" w:asciiTheme="minorEastAsia" w:hAnsiTheme="minorEastAsia" w:eastAsiaTheme="minorEastAsia" w:cstheme="minorEastAsia"/>
          <w:b/>
          <w:color w:val="auto"/>
          <w:sz w:val="24"/>
          <w:szCs w:val="24"/>
          <w:highlight w:val="none"/>
          <w:lang w:bidi="ar"/>
        </w:rPr>
      </w:pPr>
    </w:p>
    <w:p w14:paraId="75AADE3C">
      <w:pPr>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br w:type="page"/>
      </w:r>
    </w:p>
    <w:p w14:paraId="78346A06">
      <w:pPr>
        <w:spacing w:line="360" w:lineRule="auto"/>
        <w:rPr>
          <w:rFonts w:hint="eastAsia" w:ascii="宋体" w:hAnsi="宋体" w:cs="宋体"/>
          <w:color w:val="auto"/>
          <w:sz w:val="32"/>
          <w:szCs w:val="32"/>
          <w:highlight w:val="none"/>
        </w:rPr>
      </w:pPr>
      <w:r>
        <w:rPr>
          <w:rFonts w:hint="eastAsia" w:ascii="宋体" w:hAnsi="宋体" w:cs="宋体"/>
          <w:b/>
          <w:color w:val="auto"/>
          <w:sz w:val="32"/>
          <w:szCs w:val="32"/>
          <w:highlight w:val="none"/>
        </w:rPr>
        <w:t>附表：</w:t>
      </w:r>
    </w:p>
    <w:p w14:paraId="7FA331BA">
      <w:pPr>
        <w:spacing w:line="360" w:lineRule="auto"/>
        <w:ind w:firstLine="630" w:firstLineChars="196"/>
        <w:jc w:val="center"/>
        <w:rPr>
          <w:rFonts w:hint="eastAsia" w:ascii="宋体" w:hAnsi="宋体" w:cs="宋体"/>
          <w:b/>
          <w:color w:val="auto"/>
          <w:sz w:val="32"/>
          <w:szCs w:val="32"/>
          <w:highlight w:val="none"/>
        </w:rPr>
      </w:pPr>
      <w:r>
        <w:rPr>
          <w:rFonts w:hint="eastAsia" w:ascii="宋体" w:hAnsi="宋体" w:cs="宋体"/>
          <w:b/>
          <w:color w:val="auto"/>
          <w:sz w:val="32"/>
          <w:szCs w:val="32"/>
          <w:highlight w:val="none"/>
        </w:rPr>
        <w:t>技术规格及商务响应表</w:t>
      </w:r>
    </w:p>
    <w:p w14:paraId="68D6C180">
      <w:pP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（投标人应针对下表中体现的招标要求及“投标人须知前附表2:资格性、符合性检查表”内容逐条说明投标响应情况，并附上相应资料，投标响应对应的页码以及偏离说明）</w:t>
      </w:r>
    </w:p>
    <w:tbl>
      <w:tblPr>
        <w:tblStyle w:val="13"/>
        <w:tblW w:w="102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707"/>
        <w:gridCol w:w="709"/>
        <w:gridCol w:w="5386"/>
        <w:gridCol w:w="779"/>
        <w:gridCol w:w="935"/>
        <w:gridCol w:w="775"/>
      </w:tblGrid>
      <w:tr w14:paraId="320A0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762" w:type="dxa"/>
            <w:gridSpan w:val="4"/>
            <w:tcBorders>
              <w:top w:val="single" w:color="auto" w:sz="4" w:space="0"/>
              <w:left w:val="single" w:color="auto" w:sz="4" w:space="0"/>
              <w:bottom w:val="single" w:color="auto" w:sz="4" w:space="0"/>
              <w:right w:val="single" w:color="auto" w:sz="4" w:space="0"/>
            </w:tcBorders>
            <w:vAlign w:val="center"/>
          </w:tcPr>
          <w:p w14:paraId="26A7717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招标要求</w:t>
            </w:r>
          </w:p>
        </w:tc>
        <w:tc>
          <w:tcPr>
            <w:tcW w:w="2489" w:type="dxa"/>
            <w:gridSpan w:val="3"/>
            <w:tcBorders>
              <w:top w:val="single" w:color="auto" w:sz="4" w:space="0"/>
              <w:left w:val="single" w:color="auto" w:sz="4" w:space="0"/>
              <w:bottom w:val="single" w:color="auto" w:sz="4" w:space="0"/>
              <w:right w:val="single" w:color="auto" w:sz="4" w:space="0"/>
            </w:tcBorders>
            <w:vAlign w:val="center"/>
          </w:tcPr>
          <w:p w14:paraId="7AAB1CA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投标响应</w:t>
            </w:r>
          </w:p>
        </w:tc>
      </w:tr>
      <w:tr w14:paraId="3C9E2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tcBorders>
              <w:top w:val="single" w:color="auto" w:sz="4" w:space="0"/>
              <w:left w:val="single" w:color="auto" w:sz="4" w:space="0"/>
              <w:bottom w:val="single" w:color="auto" w:sz="4" w:space="0"/>
              <w:right w:val="single" w:color="auto" w:sz="4" w:space="0"/>
            </w:tcBorders>
            <w:vAlign w:val="center"/>
          </w:tcPr>
          <w:p w14:paraId="2E448F59">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合同包/品目号</w:t>
            </w:r>
          </w:p>
        </w:tc>
        <w:tc>
          <w:tcPr>
            <w:tcW w:w="707" w:type="dxa"/>
            <w:tcBorders>
              <w:top w:val="single" w:color="auto" w:sz="4" w:space="0"/>
              <w:left w:val="single" w:color="auto" w:sz="4" w:space="0"/>
              <w:bottom w:val="single" w:color="auto" w:sz="4" w:space="0"/>
              <w:right w:val="single" w:color="auto" w:sz="4" w:space="0"/>
            </w:tcBorders>
            <w:vAlign w:val="center"/>
          </w:tcPr>
          <w:p w14:paraId="25E77CE3">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货物</w:t>
            </w:r>
          </w:p>
          <w:p w14:paraId="4CFE819C">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名称</w:t>
            </w:r>
          </w:p>
        </w:tc>
        <w:tc>
          <w:tcPr>
            <w:tcW w:w="709" w:type="dxa"/>
            <w:tcBorders>
              <w:top w:val="single" w:color="auto" w:sz="4" w:space="0"/>
              <w:left w:val="single" w:color="auto" w:sz="4" w:space="0"/>
              <w:bottom w:val="single" w:color="auto" w:sz="4" w:space="0"/>
              <w:right w:val="single" w:color="auto" w:sz="4" w:space="0"/>
            </w:tcBorders>
            <w:vAlign w:val="center"/>
          </w:tcPr>
          <w:p w14:paraId="22F59446">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规格</w:t>
            </w:r>
          </w:p>
          <w:p w14:paraId="4A1FEF35">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条目号</w:t>
            </w:r>
          </w:p>
        </w:tc>
        <w:tc>
          <w:tcPr>
            <w:tcW w:w="5386" w:type="dxa"/>
            <w:tcBorders>
              <w:top w:val="single" w:color="auto" w:sz="4" w:space="0"/>
              <w:left w:val="single" w:color="auto" w:sz="4" w:space="0"/>
              <w:bottom w:val="single" w:color="auto" w:sz="4" w:space="0"/>
              <w:right w:val="single" w:color="auto" w:sz="4" w:space="0"/>
            </w:tcBorders>
            <w:vAlign w:val="center"/>
          </w:tcPr>
          <w:p w14:paraId="2255FE9E">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招标文件要求</w:t>
            </w:r>
          </w:p>
        </w:tc>
        <w:tc>
          <w:tcPr>
            <w:tcW w:w="779" w:type="dxa"/>
            <w:tcBorders>
              <w:top w:val="single" w:color="auto" w:sz="4" w:space="0"/>
              <w:left w:val="single" w:color="auto" w:sz="4" w:space="0"/>
              <w:bottom w:val="single" w:color="auto" w:sz="4" w:space="0"/>
              <w:right w:val="single" w:color="auto" w:sz="4" w:space="0"/>
            </w:tcBorders>
            <w:vAlign w:val="center"/>
          </w:tcPr>
          <w:p w14:paraId="50698822">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投标响应情况</w:t>
            </w:r>
          </w:p>
        </w:tc>
        <w:tc>
          <w:tcPr>
            <w:tcW w:w="935" w:type="dxa"/>
            <w:tcBorders>
              <w:top w:val="single" w:color="auto" w:sz="4" w:space="0"/>
              <w:left w:val="single" w:color="auto" w:sz="4" w:space="0"/>
              <w:bottom w:val="single" w:color="auto" w:sz="4" w:space="0"/>
              <w:right w:val="single" w:color="auto" w:sz="4" w:space="0"/>
            </w:tcBorders>
            <w:vAlign w:val="center"/>
          </w:tcPr>
          <w:p w14:paraId="2A527A57">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投标响应对应的页码</w:t>
            </w:r>
          </w:p>
        </w:tc>
        <w:tc>
          <w:tcPr>
            <w:tcW w:w="775" w:type="dxa"/>
            <w:tcBorders>
              <w:top w:val="single" w:color="auto" w:sz="4" w:space="0"/>
              <w:left w:val="single" w:color="auto" w:sz="4" w:space="0"/>
              <w:bottom w:val="single" w:color="auto" w:sz="4" w:space="0"/>
              <w:right w:val="single" w:color="auto" w:sz="4" w:space="0"/>
            </w:tcBorders>
            <w:vAlign w:val="center"/>
          </w:tcPr>
          <w:p w14:paraId="0F62AFB9">
            <w:pPr>
              <w:spacing w:line="360" w:lineRule="auto"/>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偏离说明</w:t>
            </w:r>
          </w:p>
        </w:tc>
      </w:tr>
      <w:tr w14:paraId="05ECC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restart"/>
            <w:tcBorders>
              <w:top w:val="single" w:color="auto" w:sz="4" w:space="0"/>
              <w:left w:val="single" w:color="auto" w:sz="4" w:space="0"/>
              <w:right w:val="single" w:color="auto" w:sz="4" w:space="0"/>
            </w:tcBorders>
            <w:vAlign w:val="center"/>
          </w:tcPr>
          <w:p w14:paraId="181C1DB2">
            <w:pPr>
              <w:spacing w:line="360" w:lineRule="auto"/>
              <w:rPr>
                <w:rFonts w:hint="eastAsia" w:ascii="宋体" w:hAnsi="宋体" w:cs="宋体"/>
                <w:color w:val="auto"/>
                <w:sz w:val="24"/>
                <w:szCs w:val="24"/>
                <w:highlight w:val="none"/>
              </w:rPr>
            </w:pPr>
          </w:p>
        </w:tc>
        <w:tc>
          <w:tcPr>
            <w:tcW w:w="707" w:type="dxa"/>
            <w:vMerge w:val="restart"/>
            <w:tcBorders>
              <w:top w:val="single" w:color="auto" w:sz="4" w:space="0"/>
              <w:left w:val="single" w:color="auto" w:sz="4" w:space="0"/>
              <w:right w:val="single" w:color="auto" w:sz="4" w:space="0"/>
            </w:tcBorders>
            <w:vAlign w:val="center"/>
          </w:tcPr>
          <w:p w14:paraId="0D84FF34">
            <w:pPr>
              <w:spacing w:line="360" w:lineRule="auto"/>
              <w:rPr>
                <w:rFonts w:hint="eastAsia" w:ascii="宋体" w:hAnsi="宋体" w:cs="宋体"/>
                <w:color w:val="auto"/>
                <w:sz w:val="24"/>
                <w:szCs w:val="24"/>
                <w:highlight w:val="none"/>
              </w:rPr>
            </w:pPr>
          </w:p>
        </w:tc>
        <w:tc>
          <w:tcPr>
            <w:tcW w:w="709" w:type="dxa"/>
            <w:vMerge w:val="restart"/>
            <w:tcBorders>
              <w:top w:val="single" w:color="auto" w:sz="4" w:space="0"/>
              <w:left w:val="single" w:color="auto" w:sz="4" w:space="0"/>
              <w:right w:val="single" w:color="auto" w:sz="4" w:space="0"/>
            </w:tcBorders>
            <w:vAlign w:val="center"/>
          </w:tcPr>
          <w:p w14:paraId="6714218B">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7A9CCA1C">
            <w:pPr>
              <w:tabs>
                <w:tab w:val="left" w:pos="5130"/>
              </w:tabs>
              <w:spacing w:line="360" w:lineRule="auto"/>
              <w:ind w:firstLine="482" w:firstLineChars="200"/>
              <w:rPr>
                <w:rFonts w:hint="eastAsia" w:ascii="宋体" w:hAnsi="宋体" w:cs="Courier New"/>
                <w:color w:val="auto"/>
                <w:sz w:val="24"/>
                <w:szCs w:val="24"/>
                <w:highlight w:val="none"/>
              </w:rPr>
            </w:pPr>
            <w:r>
              <w:rPr>
                <w:rFonts w:hint="eastAsia" w:ascii="宋体" w:hAnsi="宋体" w:cs="Courier New"/>
                <w:b/>
                <w:color w:val="auto"/>
                <w:sz w:val="24"/>
                <w:szCs w:val="24"/>
                <w:highlight w:val="none"/>
              </w:rPr>
              <w:t>一、项目概况及技术要求</w:t>
            </w:r>
          </w:p>
          <w:p w14:paraId="4D476421">
            <w:pPr>
              <w:tabs>
                <w:tab w:val="left" w:pos="5130"/>
              </w:tabs>
              <w:spacing w:line="360" w:lineRule="auto"/>
              <w:ind w:firstLine="482" w:firstLineChars="200"/>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（一）项目概况</w:t>
            </w:r>
          </w:p>
          <w:tbl>
            <w:tblPr>
              <w:tblStyle w:val="13"/>
              <w:tblW w:w="5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20"/>
              <w:gridCol w:w="840"/>
            </w:tblGrid>
            <w:tr w14:paraId="49532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4320" w:type="dxa"/>
                  <w:tcBorders>
                    <w:top w:val="single" w:color="auto" w:sz="4" w:space="0"/>
                    <w:left w:val="single" w:color="auto" w:sz="4" w:space="0"/>
                    <w:bottom w:val="single" w:color="auto" w:sz="4" w:space="0"/>
                    <w:right w:val="single" w:color="auto" w:sz="4" w:space="0"/>
                  </w:tcBorders>
                  <w:vAlign w:val="center"/>
                </w:tcPr>
                <w:p w14:paraId="40574322">
                  <w:pPr>
                    <w:tabs>
                      <w:tab w:val="left" w:pos="5130"/>
                    </w:tabs>
                    <w:spacing w:line="360" w:lineRule="auto"/>
                    <w:ind w:firstLine="482" w:firstLineChars="200"/>
                    <w:jc w:val="left"/>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货物名称</w:t>
                  </w:r>
                </w:p>
              </w:tc>
              <w:tc>
                <w:tcPr>
                  <w:tcW w:w="840" w:type="dxa"/>
                  <w:tcBorders>
                    <w:top w:val="single" w:color="auto" w:sz="4" w:space="0"/>
                    <w:left w:val="single" w:color="auto" w:sz="4" w:space="0"/>
                    <w:bottom w:val="single" w:color="auto" w:sz="4" w:space="0"/>
                    <w:right w:val="single" w:color="auto" w:sz="4" w:space="0"/>
                  </w:tcBorders>
                  <w:vAlign w:val="center"/>
                </w:tcPr>
                <w:p w14:paraId="117901A2">
                  <w:pPr>
                    <w:tabs>
                      <w:tab w:val="left" w:pos="5130"/>
                    </w:tabs>
                    <w:spacing w:line="360" w:lineRule="auto"/>
                    <w:ind w:firstLine="482" w:firstLineChars="200"/>
                    <w:jc w:val="left"/>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数量</w:t>
                  </w:r>
                </w:p>
              </w:tc>
            </w:tr>
            <w:tr w14:paraId="5A92F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6" w:hRule="atLeast"/>
              </w:trPr>
              <w:tc>
                <w:tcPr>
                  <w:tcW w:w="4320" w:type="dxa"/>
                  <w:tcBorders>
                    <w:top w:val="single" w:color="auto" w:sz="4" w:space="0"/>
                    <w:left w:val="single" w:color="auto" w:sz="4" w:space="0"/>
                    <w:bottom w:val="single" w:color="auto" w:sz="4" w:space="0"/>
                    <w:right w:val="single" w:color="auto" w:sz="4" w:space="0"/>
                  </w:tcBorders>
                  <w:vAlign w:val="center"/>
                </w:tcPr>
                <w:p w14:paraId="41457F60">
                  <w:pPr>
                    <w:tabs>
                      <w:tab w:val="left" w:pos="5130"/>
                    </w:tabs>
                    <w:spacing w:line="360" w:lineRule="auto"/>
                    <w:ind w:firstLine="482" w:firstLineChars="200"/>
                    <w:jc w:val="left"/>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厦门理工学院家具采购</w:t>
                  </w:r>
                </w:p>
              </w:tc>
              <w:tc>
                <w:tcPr>
                  <w:tcW w:w="840" w:type="dxa"/>
                  <w:tcBorders>
                    <w:top w:val="single" w:color="auto" w:sz="4" w:space="0"/>
                    <w:left w:val="single" w:color="auto" w:sz="4" w:space="0"/>
                    <w:bottom w:val="single" w:color="auto" w:sz="4" w:space="0"/>
                    <w:right w:val="single" w:color="auto" w:sz="4" w:space="0"/>
                  </w:tcBorders>
                  <w:vAlign w:val="center"/>
                </w:tcPr>
                <w:p w14:paraId="0F1E8911">
                  <w:pPr>
                    <w:tabs>
                      <w:tab w:val="left" w:pos="5130"/>
                    </w:tabs>
                    <w:spacing w:line="360" w:lineRule="auto"/>
                    <w:ind w:firstLine="482" w:firstLineChars="200"/>
                    <w:jc w:val="left"/>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1批</w:t>
                  </w:r>
                </w:p>
              </w:tc>
            </w:tr>
          </w:tbl>
          <w:p w14:paraId="0FA198C3">
            <w:pPr>
              <w:tabs>
                <w:tab w:val="left" w:pos="5130"/>
              </w:tabs>
              <w:spacing w:line="360" w:lineRule="auto"/>
              <w:ind w:firstLine="482" w:firstLineChars="200"/>
              <w:jc w:val="left"/>
              <w:rPr>
                <w:rFonts w:hint="eastAsia" w:ascii="宋体" w:hAnsi="宋体" w:cs="宋体"/>
                <w:color w:val="auto"/>
                <w:sz w:val="24"/>
                <w:szCs w:val="24"/>
                <w:highlight w:val="none"/>
              </w:rPr>
            </w:pPr>
            <w:r>
              <w:rPr>
                <w:rFonts w:hint="eastAsia" w:ascii="宋体" w:hAnsi="宋体" w:cs="Courier New"/>
                <w:b/>
                <w:color w:val="auto"/>
                <w:sz w:val="24"/>
                <w:szCs w:val="24"/>
                <w:highlight w:val="none"/>
              </w:rPr>
              <w:t>中标供应商应向学校提供相应配套货物及服务（包括但不限于安装服务、培训服务、质保服务等）。</w:t>
            </w:r>
          </w:p>
        </w:tc>
        <w:tc>
          <w:tcPr>
            <w:tcW w:w="779" w:type="dxa"/>
            <w:tcBorders>
              <w:top w:val="single" w:color="auto" w:sz="4" w:space="0"/>
              <w:left w:val="single" w:color="auto" w:sz="4" w:space="0"/>
              <w:bottom w:val="single" w:color="auto" w:sz="4" w:space="0"/>
              <w:right w:val="single" w:color="auto" w:sz="4" w:space="0"/>
            </w:tcBorders>
            <w:vAlign w:val="center"/>
          </w:tcPr>
          <w:p w14:paraId="604EF587">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4A52DF2F">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E08F186">
            <w:pPr>
              <w:spacing w:line="360" w:lineRule="auto"/>
              <w:jc w:val="center"/>
              <w:rPr>
                <w:rFonts w:hint="eastAsia" w:ascii="宋体" w:hAnsi="宋体" w:cs="宋体"/>
                <w:color w:val="auto"/>
                <w:sz w:val="24"/>
                <w:szCs w:val="24"/>
                <w:highlight w:val="none"/>
              </w:rPr>
            </w:pPr>
          </w:p>
        </w:tc>
      </w:tr>
      <w:tr w14:paraId="4875E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13EBA98D">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4B8CD75E">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15CBB305">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tbl>
            <w:tblPr>
              <w:tblStyle w:val="14"/>
              <w:tblpPr w:leftFromText="180" w:rightFromText="180" w:vertAnchor="text" w:horzAnchor="margin" w:tblpX="853" w:tblpY="146"/>
              <w:tblOverlap w:val="never"/>
              <w:tblW w:w="5160" w:type="dxa"/>
              <w:tblInd w:w="-55"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385"/>
              <w:gridCol w:w="1473"/>
              <w:gridCol w:w="890"/>
              <w:gridCol w:w="1878"/>
              <w:gridCol w:w="534"/>
            </w:tblGrid>
            <w:tr w14:paraId="538D4C3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17" w:hRule="atLeast"/>
              </w:trPr>
              <w:tc>
                <w:tcPr>
                  <w:tcW w:w="385" w:type="dxa"/>
                  <w:vAlign w:val="center"/>
                </w:tcPr>
                <w:p w14:paraId="253974EA">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sz w:val="28"/>
                      <w:szCs w:val="28"/>
                      <w:highlight w:val="none"/>
                    </w:rPr>
                  </w:pPr>
                  <w:r>
                    <w:rPr>
                      <w:rFonts w:hint="eastAsia" w:asciiTheme="minorEastAsia" w:hAnsiTheme="minorEastAsia" w:eastAsiaTheme="minorEastAsia" w:cstheme="minorEastAsia"/>
                      <w:b/>
                      <w:bCs/>
                      <w:color w:val="auto"/>
                      <w:kern w:val="2"/>
                      <w:sz w:val="28"/>
                      <w:szCs w:val="28"/>
                      <w:highlight w:val="none"/>
                    </w:rPr>
                    <w:t>序号</w:t>
                  </w:r>
                </w:p>
              </w:tc>
              <w:tc>
                <w:tcPr>
                  <w:tcW w:w="1473" w:type="dxa"/>
                  <w:vAlign w:val="center"/>
                </w:tcPr>
                <w:p w14:paraId="5F44B851">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sz w:val="28"/>
                      <w:szCs w:val="28"/>
                      <w:highlight w:val="none"/>
                    </w:rPr>
                  </w:pPr>
                  <w:r>
                    <w:rPr>
                      <w:rFonts w:hint="eastAsia" w:asciiTheme="minorEastAsia" w:hAnsiTheme="minorEastAsia" w:eastAsiaTheme="minorEastAsia" w:cstheme="minorEastAsia"/>
                      <w:b/>
                      <w:bCs/>
                      <w:color w:val="auto"/>
                      <w:kern w:val="2"/>
                      <w:sz w:val="28"/>
                      <w:szCs w:val="28"/>
                      <w:highlight w:val="none"/>
                    </w:rPr>
                    <w:t>货物名称</w:t>
                  </w:r>
                </w:p>
              </w:tc>
              <w:tc>
                <w:tcPr>
                  <w:tcW w:w="890" w:type="dxa"/>
                  <w:vAlign w:val="center"/>
                </w:tcPr>
                <w:p w14:paraId="041E1E63">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sz w:val="28"/>
                      <w:szCs w:val="28"/>
                      <w:highlight w:val="none"/>
                    </w:rPr>
                  </w:pPr>
                  <w:r>
                    <w:rPr>
                      <w:rFonts w:hint="eastAsia" w:asciiTheme="minorEastAsia" w:hAnsiTheme="minorEastAsia" w:eastAsiaTheme="minorEastAsia" w:cstheme="minorEastAsia"/>
                      <w:b/>
                      <w:bCs/>
                      <w:color w:val="auto"/>
                      <w:kern w:val="2"/>
                      <w:sz w:val="28"/>
                      <w:szCs w:val="28"/>
                      <w:highlight w:val="none"/>
                    </w:rPr>
                    <w:t>规格</w:t>
                  </w:r>
                </w:p>
              </w:tc>
              <w:tc>
                <w:tcPr>
                  <w:tcW w:w="1878" w:type="dxa"/>
                  <w:vAlign w:val="center"/>
                </w:tcPr>
                <w:p w14:paraId="1DCBECBB">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sz w:val="28"/>
                      <w:szCs w:val="28"/>
                      <w:highlight w:val="none"/>
                    </w:rPr>
                  </w:pPr>
                  <w:r>
                    <w:rPr>
                      <w:rFonts w:hint="eastAsia" w:asciiTheme="minorEastAsia" w:hAnsiTheme="minorEastAsia" w:eastAsiaTheme="minorEastAsia" w:cstheme="minorEastAsia"/>
                      <w:b/>
                      <w:bCs/>
                      <w:color w:val="auto"/>
                      <w:kern w:val="2"/>
                      <w:sz w:val="28"/>
                      <w:szCs w:val="28"/>
                      <w:highlight w:val="none"/>
                    </w:rPr>
                    <w:t>技术参数</w:t>
                  </w:r>
                </w:p>
              </w:tc>
              <w:tc>
                <w:tcPr>
                  <w:tcW w:w="534" w:type="dxa"/>
                  <w:vAlign w:val="center"/>
                </w:tcPr>
                <w:p w14:paraId="477C5FBA">
                  <w:pPr>
                    <w:pStyle w:val="11"/>
                    <w:spacing w:before="0" w:beforeAutospacing="0" w:after="0" w:afterAutospacing="0" w:line="0" w:lineRule="atLeast"/>
                    <w:jc w:val="center"/>
                    <w:rPr>
                      <w:rFonts w:hint="eastAsia" w:asciiTheme="minorEastAsia" w:hAnsiTheme="minorEastAsia" w:eastAsiaTheme="minorEastAsia" w:cstheme="minorEastAsia"/>
                      <w:b/>
                      <w:bCs/>
                      <w:color w:val="auto"/>
                      <w:kern w:val="2"/>
                      <w:sz w:val="28"/>
                      <w:szCs w:val="28"/>
                      <w:highlight w:val="none"/>
                    </w:rPr>
                  </w:pPr>
                  <w:r>
                    <w:rPr>
                      <w:rFonts w:hint="eastAsia" w:asciiTheme="minorEastAsia" w:hAnsiTheme="minorEastAsia" w:eastAsiaTheme="minorEastAsia" w:cstheme="minorEastAsia"/>
                      <w:b/>
                      <w:bCs/>
                      <w:color w:val="auto"/>
                      <w:kern w:val="2"/>
                      <w:sz w:val="28"/>
                      <w:szCs w:val="28"/>
                      <w:highlight w:val="none"/>
                    </w:rPr>
                    <w:t>数量</w:t>
                  </w:r>
                </w:p>
              </w:tc>
            </w:tr>
            <w:tr w14:paraId="0226F19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83" w:hRule="atLeast"/>
              </w:trPr>
              <w:tc>
                <w:tcPr>
                  <w:tcW w:w="385" w:type="dxa"/>
                  <w:vAlign w:val="center"/>
                </w:tcPr>
                <w:p w14:paraId="446CAEE1">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1</w:t>
                  </w:r>
                </w:p>
              </w:tc>
              <w:tc>
                <w:tcPr>
                  <w:tcW w:w="1473" w:type="dxa"/>
                  <w:vAlign w:val="center"/>
                </w:tcPr>
                <w:p w14:paraId="587962CF">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组合式公寓床</w:t>
                  </w:r>
                  <w:r>
                    <w:rPr>
                      <w:rFonts w:hint="eastAsia" w:asciiTheme="minorEastAsia" w:hAnsiTheme="minorEastAsia" w:cstheme="minorEastAsia"/>
                      <w:color w:val="auto"/>
                      <w:kern w:val="2"/>
                      <w:sz w:val="28"/>
                      <w:szCs w:val="28"/>
                      <w:highlight w:val="none"/>
                    </w:rPr>
                    <w:t>-</w:t>
                  </w:r>
                  <w:r>
                    <w:rPr>
                      <w:rFonts w:hint="eastAsia" w:asciiTheme="minorEastAsia" w:hAnsiTheme="minorEastAsia" w:eastAsiaTheme="minorEastAsia" w:cstheme="minorEastAsia"/>
                      <w:color w:val="auto"/>
                      <w:kern w:val="2"/>
                      <w:sz w:val="28"/>
                      <w:szCs w:val="28"/>
                      <w:highlight w:val="none"/>
                    </w:rPr>
                    <w:t>铁架床</w:t>
                  </w:r>
                </w:p>
              </w:tc>
              <w:tc>
                <w:tcPr>
                  <w:tcW w:w="890" w:type="dxa"/>
                  <w:vAlign w:val="center"/>
                </w:tcPr>
                <w:p w14:paraId="15F431A5">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2100*900*2910mm</w:t>
                  </w:r>
                </w:p>
              </w:tc>
              <w:tc>
                <w:tcPr>
                  <w:tcW w:w="1878" w:type="dxa"/>
                  <w:vAlign w:val="center"/>
                </w:tcPr>
                <w:p w14:paraId="03EDB4AC">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每套床含：铁床架、16mm杉木床铺板；</w:t>
                  </w:r>
                </w:p>
                <w:p w14:paraId="7060300C">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详见线条图及材质描述</w:t>
                  </w:r>
                </w:p>
              </w:tc>
              <w:tc>
                <w:tcPr>
                  <w:tcW w:w="534" w:type="dxa"/>
                  <w:vAlign w:val="center"/>
                </w:tcPr>
                <w:p w14:paraId="059903DC">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3</w:t>
                  </w:r>
                  <w:r>
                    <w:rPr>
                      <w:rFonts w:hint="eastAsia" w:asciiTheme="minorEastAsia" w:hAnsiTheme="minorEastAsia" w:cstheme="minorEastAsia"/>
                      <w:color w:val="auto"/>
                      <w:kern w:val="2"/>
                      <w:sz w:val="28"/>
                      <w:szCs w:val="28"/>
                      <w:highlight w:val="none"/>
                    </w:rPr>
                    <w:t>48</w:t>
                  </w:r>
                  <w:r>
                    <w:rPr>
                      <w:rFonts w:hint="eastAsia" w:asciiTheme="minorEastAsia" w:hAnsiTheme="minorEastAsia" w:eastAsiaTheme="minorEastAsia" w:cstheme="minorEastAsia"/>
                      <w:color w:val="auto"/>
                      <w:kern w:val="2"/>
                      <w:sz w:val="28"/>
                      <w:szCs w:val="28"/>
                      <w:highlight w:val="none"/>
                    </w:rPr>
                    <w:t>0套</w:t>
                  </w:r>
                </w:p>
              </w:tc>
            </w:tr>
            <w:tr w14:paraId="0B8D067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6" w:hRule="atLeast"/>
              </w:trPr>
              <w:tc>
                <w:tcPr>
                  <w:tcW w:w="385" w:type="dxa"/>
                  <w:vAlign w:val="center"/>
                </w:tcPr>
                <w:p w14:paraId="40AA3E12">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2</w:t>
                  </w:r>
                </w:p>
              </w:tc>
              <w:tc>
                <w:tcPr>
                  <w:tcW w:w="1473" w:type="dxa"/>
                  <w:vAlign w:val="center"/>
                </w:tcPr>
                <w:p w14:paraId="3EE89866">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组合式公寓床</w:t>
                  </w:r>
                  <w:r>
                    <w:rPr>
                      <w:rFonts w:hint="eastAsia"/>
                      <w:b/>
                      <w:bCs/>
                      <w:color w:val="auto"/>
                      <w:sz w:val="28"/>
                      <w:szCs w:val="28"/>
                      <w:highlight w:val="none"/>
                    </w:rPr>
                    <w:t>-</w:t>
                  </w:r>
                  <w:r>
                    <w:rPr>
                      <w:rFonts w:hint="eastAsia" w:asciiTheme="minorEastAsia" w:hAnsiTheme="minorEastAsia" w:eastAsiaTheme="minorEastAsia" w:cstheme="minorEastAsia"/>
                      <w:color w:val="auto"/>
                      <w:kern w:val="2"/>
                      <w:sz w:val="28"/>
                      <w:szCs w:val="28"/>
                      <w:highlight w:val="none"/>
                    </w:rPr>
                    <w:t>木家具</w:t>
                  </w:r>
                </w:p>
              </w:tc>
              <w:tc>
                <w:tcPr>
                  <w:tcW w:w="890" w:type="dxa"/>
                  <w:vAlign w:val="center"/>
                </w:tcPr>
                <w:p w14:paraId="62D6D800">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2040*618*1695mm</w:t>
                  </w:r>
                </w:p>
              </w:tc>
              <w:tc>
                <w:tcPr>
                  <w:tcW w:w="1878" w:type="dxa"/>
                  <w:vAlign w:val="center"/>
                </w:tcPr>
                <w:p w14:paraId="6AD3583E">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每套木家具含：书桌、书架、衣柜；</w:t>
                  </w:r>
                </w:p>
                <w:p w14:paraId="3B632791">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详见线条图及材质描述</w:t>
                  </w:r>
                </w:p>
              </w:tc>
              <w:tc>
                <w:tcPr>
                  <w:tcW w:w="534" w:type="dxa"/>
                  <w:vAlign w:val="center"/>
                </w:tcPr>
                <w:p w14:paraId="2D53665D">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3</w:t>
                  </w:r>
                  <w:r>
                    <w:rPr>
                      <w:rFonts w:hint="eastAsia" w:asciiTheme="minorEastAsia" w:hAnsiTheme="minorEastAsia" w:cstheme="minorEastAsia"/>
                      <w:color w:val="auto"/>
                      <w:kern w:val="2"/>
                      <w:sz w:val="28"/>
                      <w:szCs w:val="28"/>
                      <w:highlight w:val="none"/>
                    </w:rPr>
                    <w:t>48</w:t>
                  </w:r>
                  <w:r>
                    <w:rPr>
                      <w:rFonts w:hint="eastAsia" w:asciiTheme="minorEastAsia" w:hAnsiTheme="minorEastAsia" w:eastAsiaTheme="minorEastAsia" w:cstheme="minorEastAsia"/>
                      <w:color w:val="auto"/>
                      <w:kern w:val="2"/>
                      <w:sz w:val="28"/>
                      <w:szCs w:val="28"/>
                      <w:highlight w:val="none"/>
                    </w:rPr>
                    <w:t>0套</w:t>
                  </w:r>
                </w:p>
              </w:tc>
            </w:tr>
            <w:tr w14:paraId="687A122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23" w:hRule="atLeast"/>
              </w:trPr>
              <w:tc>
                <w:tcPr>
                  <w:tcW w:w="385" w:type="dxa"/>
                  <w:vAlign w:val="center"/>
                </w:tcPr>
                <w:p w14:paraId="096C1E9B">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3</w:t>
                  </w:r>
                </w:p>
              </w:tc>
              <w:tc>
                <w:tcPr>
                  <w:tcW w:w="1473" w:type="dxa"/>
                  <w:vAlign w:val="center"/>
                </w:tcPr>
                <w:p w14:paraId="7CF2FF1B">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公寓椅</w:t>
                  </w:r>
                </w:p>
              </w:tc>
              <w:tc>
                <w:tcPr>
                  <w:tcW w:w="890" w:type="dxa"/>
                  <w:vAlign w:val="center"/>
                </w:tcPr>
                <w:p w14:paraId="3D62C5B8">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450*550*780mm</w:t>
                  </w:r>
                </w:p>
              </w:tc>
              <w:tc>
                <w:tcPr>
                  <w:tcW w:w="1878" w:type="dxa"/>
                  <w:vAlign w:val="center"/>
                </w:tcPr>
                <w:p w14:paraId="263EFCC9">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详见线条图及材质描述</w:t>
                  </w:r>
                </w:p>
              </w:tc>
              <w:tc>
                <w:tcPr>
                  <w:tcW w:w="534" w:type="dxa"/>
                  <w:vAlign w:val="center"/>
                </w:tcPr>
                <w:p w14:paraId="2E4D7808">
                  <w:pPr>
                    <w:pStyle w:val="11"/>
                    <w:spacing w:before="0" w:beforeAutospacing="0" w:after="0" w:afterAutospacing="0" w:line="0" w:lineRule="atLeast"/>
                    <w:jc w:val="center"/>
                    <w:rPr>
                      <w:rFonts w:hint="eastAsia" w:asciiTheme="minorEastAsia" w:hAnsiTheme="minorEastAsia" w:eastAsiaTheme="minorEastAsia" w:cstheme="minorEastAsia"/>
                      <w:color w:val="auto"/>
                      <w:kern w:val="2"/>
                      <w:sz w:val="28"/>
                      <w:szCs w:val="28"/>
                      <w:highlight w:val="none"/>
                    </w:rPr>
                  </w:pPr>
                  <w:r>
                    <w:rPr>
                      <w:rFonts w:hint="eastAsia" w:asciiTheme="minorEastAsia" w:hAnsiTheme="minorEastAsia" w:eastAsiaTheme="minorEastAsia" w:cstheme="minorEastAsia"/>
                      <w:color w:val="auto"/>
                      <w:kern w:val="2"/>
                      <w:sz w:val="28"/>
                      <w:szCs w:val="28"/>
                      <w:highlight w:val="none"/>
                    </w:rPr>
                    <w:t>3</w:t>
                  </w:r>
                  <w:r>
                    <w:rPr>
                      <w:rFonts w:hint="eastAsia" w:asciiTheme="minorEastAsia" w:hAnsiTheme="minorEastAsia" w:cstheme="minorEastAsia"/>
                      <w:color w:val="auto"/>
                      <w:kern w:val="2"/>
                      <w:sz w:val="28"/>
                      <w:szCs w:val="28"/>
                      <w:highlight w:val="none"/>
                    </w:rPr>
                    <w:t>48</w:t>
                  </w:r>
                  <w:r>
                    <w:rPr>
                      <w:rFonts w:hint="eastAsia" w:asciiTheme="minorEastAsia" w:hAnsiTheme="minorEastAsia" w:eastAsiaTheme="minorEastAsia" w:cstheme="minorEastAsia"/>
                      <w:color w:val="auto"/>
                      <w:kern w:val="2"/>
                      <w:sz w:val="28"/>
                      <w:szCs w:val="28"/>
                      <w:highlight w:val="none"/>
                    </w:rPr>
                    <w:t>0张</w:t>
                  </w:r>
                </w:p>
              </w:tc>
            </w:tr>
          </w:tbl>
          <w:p w14:paraId="43F87918">
            <w:pPr>
              <w:tabs>
                <w:tab w:val="left" w:pos="5130"/>
              </w:tabs>
              <w:spacing w:line="360" w:lineRule="auto"/>
              <w:ind w:firstLine="482" w:firstLineChars="200"/>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（二）采购清单</w:t>
            </w:r>
          </w:p>
          <w:p w14:paraId="70F65132">
            <w:pPr>
              <w:spacing w:line="360" w:lineRule="auto"/>
              <w:jc w:val="left"/>
              <w:rPr>
                <w:rFonts w:hint="eastAsia"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4DA989FF">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D9E678E">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CAA6707">
            <w:pPr>
              <w:spacing w:line="360" w:lineRule="auto"/>
              <w:jc w:val="center"/>
              <w:rPr>
                <w:rFonts w:hint="eastAsia" w:ascii="宋体" w:hAnsi="宋体" w:cs="宋体"/>
                <w:color w:val="auto"/>
                <w:sz w:val="24"/>
                <w:szCs w:val="24"/>
                <w:highlight w:val="none"/>
              </w:rPr>
            </w:pPr>
          </w:p>
        </w:tc>
      </w:tr>
      <w:tr w14:paraId="3D751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70F8BF9D">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5DBE8642">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632750E0">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1621419E">
            <w:pPr>
              <w:spacing w:line="480" w:lineRule="auto"/>
              <w:ind w:firstLine="560"/>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（三）、拟采购项目的家具配置平面设计方案及效果图</w:t>
            </w:r>
          </w:p>
          <w:p w14:paraId="0C194D02">
            <w:pPr>
              <w:spacing w:line="480" w:lineRule="auto"/>
              <w:ind w:firstLine="560"/>
              <w:jc w:val="left"/>
              <w:rPr>
                <w:rFonts w:hint="eastAsia" w:ascii="宋体" w:hAnsi="宋体" w:cs="宋体"/>
                <w:b/>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935" distR="114935" simplePos="0" relativeHeight="251701248" behindDoc="0" locked="0" layoutInCell="1" allowOverlap="1">
                  <wp:simplePos x="0" y="0"/>
                  <wp:positionH relativeFrom="column">
                    <wp:posOffset>248285</wp:posOffset>
                  </wp:positionH>
                  <wp:positionV relativeFrom="paragraph">
                    <wp:posOffset>790575</wp:posOffset>
                  </wp:positionV>
                  <wp:extent cx="2792095" cy="1942465"/>
                  <wp:effectExtent l="0" t="0" r="1905" b="635"/>
                  <wp:wrapTopAndBottom/>
                  <wp:docPr id="1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
                          <pic:cNvPicPr>
                            <a:picLocks noChangeAspect="1"/>
                          </pic:cNvPicPr>
                        </pic:nvPicPr>
                        <pic:blipFill>
                          <a:blip r:embed="rId16"/>
                          <a:srcRect l="3542"/>
                          <a:stretch>
                            <a:fillRect/>
                          </a:stretch>
                        </pic:blipFill>
                        <pic:spPr>
                          <a:xfrm>
                            <a:off x="0" y="0"/>
                            <a:ext cx="2792095" cy="1942465"/>
                          </a:xfrm>
                          <a:prstGeom prst="rect">
                            <a:avLst/>
                          </a:prstGeom>
                        </pic:spPr>
                      </pic:pic>
                    </a:graphicData>
                  </a:graphic>
                </wp:anchor>
              </w:drawing>
            </w:r>
            <w:r>
              <w:rPr>
                <w:rFonts w:hint="eastAsia" w:asciiTheme="minorEastAsia" w:hAnsiTheme="minorEastAsia" w:cstheme="minorEastAsia"/>
                <w:b/>
                <w:bCs/>
                <w:color w:val="auto"/>
                <w:kern w:val="0"/>
                <w:sz w:val="24"/>
                <w:szCs w:val="24"/>
                <w:highlight w:val="none"/>
                <w:shd w:val="clear" w:color="auto" w:fill="FFFFFF"/>
                <w:lang w:bidi="ar"/>
              </w:rPr>
              <w:t>1.六人间宿舍家具配置---房间平面设计方案</w:t>
            </w:r>
          </w:p>
        </w:tc>
        <w:tc>
          <w:tcPr>
            <w:tcW w:w="779" w:type="dxa"/>
            <w:tcBorders>
              <w:top w:val="single" w:color="auto" w:sz="4" w:space="0"/>
              <w:left w:val="single" w:color="auto" w:sz="4" w:space="0"/>
              <w:bottom w:val="single" w:color="auto" w:sz="4" w:space="0"/>
              <w:right w:val="single" w:color="auto" w:sz="4" w:space="0"/>
            </w:tcBorders>
            <w:vAlign w:val="center"/>
          </w:tcPr>
          <w:p w14:paraId="21BE75C8">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1072D65">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12FB7160">
            <w:pPr>
              <w:spacing w:line="360" w:lineRule="auto"/>
              <w:jc w:val="center"/>
              <w:rPr>
                <w:rFonts w:hint="eastAsia" w:ascii="宋体" w:hAnsi="宋体" w:cs="宋体"/>
                <w:color w:val="auto"/>
                <w:sz w:val="24"/>
                <w:szCs w:val="24"/>
                <w:highlight w:val="none"/>
              </w:rPr>
            </w:pPr>
          </w:p>
        </w:tc>
      </w:tr>
      <w:tr w14:paraId="257C6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9D77DA2">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6C2D6441">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7131FC86">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3646FCF9">
            <w:pP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2.六人间宿舍家具配置--单人高架-侧梯组合式公寓床效果图</w:t>
            </w:r>
          </w:p>
          <w:p w14:paraId="4446211F">
            <w:pPr>
              <w:spacing w:line="360" w:lineRule="auto"/>
              <w:rPr>
                <w:rFonts w:hint="eastAsia" w:ascii="宋体" w:hAnsi="宋体" w:cs="宋体"/>
                <w:b/>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2272" behindDoc="0" locked="0" layoutInCell="1" allowOverlap="1">
                  <wp:simplePos x="0" y="0"/>
                  <wp:positionH relativeFrom="column">
                    <wp:posOffset>498475</wp:posOffset>
                  </wp:positionH>
                  <wp:positionV relativeFrom="paragraph">
                    <wp:posOffset>1836420</wp:posOffset>
                  </wp:positionV>
                  <wp:extent cx="3342005" cy="2669540"/>
                  <wp:effectExtent l="0" t="0" r="10795" b="10160"/>
                  <wp:wrapSquare wrapText="bothSides"/>
                  <wp:docPr id="161" name="图片 161" descr="b04fd89b0e071a05a450351845ff1e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b04fd89b0e071a05a450351845ff1edb"/>
                          <pic:cNvPicPr>
                            <a:picLocks noChangeAspect="1"/>
                          </pic:cNvPicPr>
                        </pic:nvPicPr>
                        <pic:blipFill>
                          <a:blip r:embed="rId17"/>
                          <a:srcRect l="16209" t="2220" r="16362" b="2043"/>
                          <a:stretch>
                            <a:fillRect/>
                          </a:stretch>
                        </pic:blipFill>
                        <pic:spPr>
                          <a:xfrm>
                            <a:off x="0" y="0"/>
                            <a:ext cx="3342005" cy="2669540"/>
                          </a:xfrm>
                          <a:prstGeom prst="rect">
                            <a:avLst/>
                          </a:prstGeom>
                        </pic:spPr>
                      </pic:pic>
                    </a:graphicData>
                  </a:graphic>
                </wp:anchor>
              </w:drawing>
            </w:r>
          </w:p>
        </w:tc>
        <w:tc>
          <w:tcPr>
            <w:tcW w:w="779" w:type="dxa"/>
            <w:tcBorders>
              <w:top w:val="single" w:color="auto" w:sz="4" w:space="0"/>
              <w:left w:val="single" w:color="auto" w:sz="4" w:space="0"/>
              <w:bottom w:val="single" w:color="auto" w:sz="4" w:space="0"/>
              <w:right w:val="single" w:color="auto" w:sz="4" w:space="0"/>
            </w:tcBorders>
            <w:vAlign w:val="center"/>
          </w:tcPr>
          <w:p w14:paraId="0CF771CD">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394D4236">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C535F1E">
            <w:pPr>
              <w:spacing w:line="360" w:lineRule="auto"/>
              <w:jc w:val="center"/>
              <w:rPr>
                <w:rFonts w:hint="eastAsia" w:ascii="宋体" w:hAnsi="宋体" w:cs="宋体"/>
                <w:color w:val="auto"/>
                <w:sz w:val="24"/>
                <w:szCs w:val="24"/>
                <w:highlight w:val="none"/>
              </w:rPr>
            </w:pPr>
          </w:p>
        </w:tc>
      </w:tr>
      <w:tr w14:paraId="1E6F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21735F7">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5C25B3CD">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42E155A9">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7C9D4148">
            <w:pPr>
              <w:tabs>
                <w:tab w:val="left" w:pos="624"/>
                <w:tab w:val="left" w:pos="2988"/>
                <w:tab w:val="left" w:pos="7849"/>
              </w:tabs>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3.六人间宿舍家具配置--单人高架-侧梯组合式公寓床</w:t>
            </w:r>
          </w:p>
          <w:p w14:paraId="0236FAA5">
            <w:pPr>
              <w:tabs>
                <w:tab w:val="left" w:pos="624"/>
                <w:tab w:val="left" w:pos="2988"/>
                <w:tab w:val="left" w:pos="7849"/>
              </w:tabs>
              <w:spacing w:line="360" w:lineRule="auto"/>
              <w:ind w:firstLine="420" w:firstLineChars="200"/>
              <w:rPr>
                <w:rFonts w:hint="eastAsia" w:ascii="宋体" w:hAnsi="宋体" w:cs="宋体"/>
                <w:b/>
                <w:color w:val="auto"/>
                <w:sz w:val="24"/>
                <w:szCs w:val="24"/>
                <w:highlight w:val="none"/>
              </w:rPr>
            </w:pPr>
            <w:r>
              <w:rPr>
                <w:color w:val="auto"/>
                <w:highlight w:val="none"/>
              </w:rPr>
              <w:drawing>
                <wp:inline distT="0" distB="0" distL="114300" distR="114300">
                  <wp:extent cx="3279140" cy="2096770"/>
                  <wp:effectExtent l="0" t="0" r="10160" b="1143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41"/>
                          <a:stretch>
                            <a:fillRect/>
                          </a:stretch>
                        </pic:blipFill>
                        <pic:spPr>
                          <a:xfrm>
                            <a:off x="0" y="0"/>
                            <a:ext cx="3279140" cy="2096770"/>
                          </a:xfrm>
                          <a:prstGeom prst="rect">
                            <a:avLst/>
                          </a:prstGeom>
                          <a:noFill/>
                          <a:ln>
                            <a:noFill/>
                          </a:ln>
                        </pic:spPr>
                      </pic:pic>
                    </a:graphicData>
                  </a:graphic>
                </wp:inline>
              </w:drawing>
            </w:r>
          </w:p>
        </w:tc>
        <w:tc>
          <w:tcPr>
            <w:tcW w:w="779" w:type="dxa"/>
            <w:tcBorders>
              <w:top w:val="single" w:color="auto" w:sz="4" w:space="0"/>
              <w:left w:val="single" w:color="auto" w:sz="4" w:space="0"/>
              <w:bottom w:val="single" w:color="auto" w:sz="4" w:space="0"/>
              <w:right w:val="single" w:color="auto" w:sz="4" w:space="0"/>
            </w:tcBorders>
            <w:vAlign w:val="center"/>
          </w:tcPr>
          <w:p w14:paraId="66772B39">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45D8D4C">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BF9D15F">
            <w:pPr>
              <w:spacing w:line="360" w:lineRule="auto"/>
              <w:jc w:val="center"/>
              <w:rPr>
                <w:rFonts w:hint="eastAsia" w:ascii="宋体" w:hAnsi="宋体" w:cs="宋体"/>
                <w:color w:val="auto"/>
                <w:sz w:val="24"/>
                <w:szCs w:val="24"/>
                <w:highlight w:val="none"/>
              </w:rPr>
            </w:pPr>
          </w:p>
        </w:tc>
      </w:tr>
      <w:tr w14:paraId="331A8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65DF07D6">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15EF7495">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408B3762">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523AB11D">
            <w:pPr>
              <w:spacing w:line="480" w:lineRule="auto"/>
              <w:ind w:firstLine="560"/>
              <w:jc w:val="left"/>
              <w:rPr>
                <w:rFonts w:hint="eastAsia" w:asciiTheme="minorEastAsia" w:hAnsiTheme="minorEastAsia" w:eastAsiaTheme="minorEastAsia" w:cstheme="minorEastAsia"/>
                <w:b/>
                <w:bCs/>
                <w:color w:val="auto"/>
                <w:kern w:val="0"/>
                <w:sz w:val="24"/>
                <w:szCs w:val="24"/>
                <w:highlight w:val="none"/>
                <w:shd w:val="clear" w:color="auto" w:fill="FFFFFF"/>
                <w:lang w:bidi="ar"/>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4.单人高架-侧梯组合式公寓床（一面墙排列展示）</w:t>
            </w:r>
            <w:r>
              <w:rPr>
                <w:rFonts w:hint="eastAsia" w:asciiTheme="minorEastAsia" w:hAnsiTheme="minorEastAsia" w:eastAsiaTheme="minorEastAsia" w:cstheme="minorEastAsia"/>
                <w:color w:val="auto"/>
                <w:sz w:val="24"/>
                <w:szCs w:val="24"/>
                <w:highlight w:val="none"/>
              </w:rPr>
              <w:drawing>
                <wp:inline distT="0" distB="0" distL="114300" distR="114300">
                  <wp:extent cx="2897505" cy="2167255"/>
                  <wp:effectExtent l="0" t="0" r="10795" b="4445"/>
                  <wp:docPr id="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
                          <pic:cNvPicPr>
                            <a:picLocks noChangeAspect="1"/>
                          </pic:cNvPicPr>
                        </pic:nvPicPr>
                        <pic:blipFill>
                          <a:blip r:embed="rId19"/>
                          <a:stretch>
                            <a:fillRect/>
                          </a:stretch>
                        </pic:blipFill>
                        <pic:spPr>
                          <a:xfrm>
                            <a:off x="0" y="0"/>
                            <a:ext cx="2897505" cy="2167255"/>
                          </a:xfrm>
                          <a:prstGeom prst="rect">
                            <a:avLst/>
                          </a:prstGeom>
                          <a:noFill/>
                          <a:ln>
                            <a:noFill/>
                          </a:ln>
                        </pic:spPr>
                      </pic:pic>
                    </a:graphicData>
                  </a:graphic>
                </wp:inline>
              </w:drawing>
            </w:r>
          </w:p>
          <w:p w14:paraId="0C292F42">
            <w:pPr>
              <w:spacing w:line="360" w:lineRule="auto"/>
              <w:ind w:firstLine="482" w:firstLineChars="200"/>
              <w:rPr>
                <w:rFonts w:hint="eastAsia" w:ascii="宋体" w:hAnsi="宋体" w:cs="宋体"/>
                <w:b/>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1E8A6039">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201CF716">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63B4837D">
            <w:pPr>
              <w:spacing w:line="360" w:lineRule="auto"/>
              <w:jc w:val="center"/>
              <w:rPr>
                <w:rFonts w:hint="eastAsia" w:ascii="宋体" w:hAnsi="宋体" w:cs="宋体"/>
                <w:color w:val="auto"/>
                <w:sz w:val="24"/>
                <w:szCs w:val="24"/>
                <w:highlight w:val="none"/>
              </w:rPr>
            </w:pPr>
          </w:p>
        </w:tc>
      </w:tr>
      <w:tr w14:paraId="62138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258A3562">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406B2627">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21E678FD">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30527F45">
            <w:pPr>
              <w:spacing w:line="360" w:lineRule="auto"/>
              <w:ind w:firstLine="482" w:firstLineChars="200"/>
              <w:rPr>
                <w:rFonts w:hint="eastAsia" w:ascii="宋体" w:hAnsi="宋体" w:cs="宋体"/>
                <w:b/>
                <w:color w:val="auto"/>
                <w:sz w:val="24"/>
                <w:szCs w:val="24"/>
                <w:highlight w:val="none"/>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5.单人高架-侧梯组合式公寓床（单人位组合图）</w:t>
            </w:r>
            <w:r>
              <w:rPr>
                <w:rFonts w:hint="eastAsia" w:asciiTheme="minorEastAsia" w:hAnsiTheme="minorEastAsia" w:eastAsiaTheme="minorEastAsia" w:cstheme="minorEastAsia"/>
                <w:b/>
                <w:bCs/>
                <w:color w:val="auto"/>
                <w:kern w:val="0"/>
                <w:sz w:val="24"/>
                <w:szCs w:val="24"/>
                <w:highlight w:val="none"/>
                <w:shd w:val="clear" w:color="auto" w:fill="FFFFFF"/>
                <w:lang w:bidi="ar"/>
              </w:rPr>
              <w:drawing>
                <wp:inline distT="0" distB="0" distL="114300" distR="114300">
                  <wp:extent cx="2689225" cy="3670935"/>
                  <wp:effectExtent l="0" t="0" r="3175" b="12065"/>
                  <wp:docPr id="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
                          <pic:cNvPicPr>
                            <a:picLocks noChangeAspect="1"/>
                          </pic:cNvPicPr>
                        </pic:nvPicPr>
                        <pic:blipFill>
                          <a:blip r:embed="rId20"/>
                          <a:stretch>
                            <a:fillRect/>
                          </a:stretch>
                        </pic:blipFill>
                        <pic:spPr>
                          <a:xfrm>
                            <a:off x="0" y="0"/>
                            <a:ext cx="2689225" cy="3670935"/>
                          </a:xfrm>
                          <a:prstGeom prst="rect">
                            <a:avLst/>
                          </a:prstGeom>
                          <a:noFill/>
                          <a:ln>
                            <a:noFill/>
                          </a:ln>
                        </pic:spPr>
                      </pic:pic>
                    </a:graphicData>
                  </a:graphic>
                </wp:inline>
              </w:drawing>
            </w:r>
          </w:p>
        </w:tc>
        <w:tc>
          <w:tcPr>
            <w:tcW w:w="779" w:type="dxa"/>
            <w:tcBorders>
              <w:top w:val="single" w:color="auto" w:sz="4" w:space="0"/>
              <w:left w:val="single" w:color="auto" w:sz="4" w:space="0"/>
              <w:bottom w:val="single" w:color="auto" w:sz="4" w:space="0"/>
              <w:right w:val="single" w:color="auto" w:sz="4" w:space="0"/>
            </w:tcBorders>
            <w:vAlign w:val="center"/>
          </w:tcPr>
          <w:p w14:paraId="5B8DC6E3">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3A21D047">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0276C415">
            <w:pPr>
              <w:spacing w:line="360" w:lineRule="auto"/>
              <w:jc w:val="center"/>
              <w:rPr>
                <w:rFonts w:hint="eastAsia" w:ascii="宋体" w:hAnsi="宋体" w:cs="宋体"/>
                <w:color w:val="auto"/>
                <w:sz w:val="24"/>
                <w:szCs w:val="24"/>
                <w:highlight w:val="none"/>
              </w:rPr>
            </w:pPr>
          </w:p>
        </w:tc>
      </w:tr>
      <w:tr w14:paraId="56536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2FA4A5ED">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77ED2729">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56A553BF">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4629F81B">
            <w:pPr>
              <w:widowControl/>
              <w:spacing w:line="360" w:lineRule="auto"/>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kern w:val="0"/>
                <w:sz w:val="24"/>
                <w:szCs w:val="24"/>
                <w:highlight w:val="none"/>
                <w:shd w:val="clear" w:color="auto" w:fill="FFFFFF"/>
                <w:lang w:bidi="ar"/>
              </w:rPr>
              <w:t>（四）、拟采购项目的详细需求</w:t>
            </w:r>
          </w:p>
          <w:p w14:paraId="25AB80C4">
            <w:pPr>
              <w:widowControl/>
              <w:spacing w:line="360" w:lineRule="auto"/>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（1）组合式公寓床-铁架床</w:t>
            </w:r>
          </w:p>
          <w:p w14:paraId="1D5D2C9D">
            <w:pPr>
              <w:widowControl/>
              <w:spacing w:line="36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1.规格：</w:t>
            </w:r>
            <w:r>
              <w:rPr>
                <w:rFonts w:hint="eastAsia" w:asciiTheme="minorEastAsia" w:hAnsiTheme="minorEastAsia" w:eastAsiaTheme="minorEastAsia" w:cstheme="minorEastAsia"/>
                <w:color w:val="auto"/>
                <w:kern w:val="0"/>
                <w:sz w:val="24"/>
                <w:szCs w:val="24"/>
                <w:highlight w:val="none"/>
              </w:rPr>
              <w:t>2100*900*2910mm（长*宽*高±10mm，高度含蚊帐架）</w:t>
            </w:r>
          </w:p>
          <w:p w14:paraId="5DBAD63B">
            <w:pPr>
              <w:widowControl/>
              <w:spacing w:line="36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2.材质要求：</w:t>
            </w:r>
            <w:r>
              <w:rPr>
                <w:rFonts w:hint="eastAsia" w:asciiTheme="minorEastAsia" w:hAnsiTheme="minorEastAsia" w:eastAsiaTheme="minorEastAsia" w:cstheme="minorEastAsia"/>
                <w:color w:val="auto"/>
                <w:kern w:val="0"/>
                <w:sz w:val="24"/>
                <w:szCs w:val="24"/>
                <w:highlight w:val="none"/>
              </w:rPr>
              <w:t>所有钢件表面使用环保型陶化硅烷工艺处理，经无磷脱脂、水洗、有机酸除锈等工序。表面波纹均匀一致，无脱焊、虚焊、焊穿等现象，表面采用灰白色喷涂塑粉。所有钢件表面需确保产品的表面光滑，无毛刺。钢材部分厚度要求：主要重要部件立柱和横梁厚度要保证在≧1.2mm厚。家具所有钢材材质均采用国家标准钢材，符合GB/T 6725-2017《冷弯型钢通用技术要求》，管材无裂缝、叠缝，外露端口面均封闭，焊接处应平整、无脱焊、虚焊、焊穿、错位，焊接处需打磨光滑、无夹渣、气孔、焊瘤、焊丝头、咬边、飞溅，焊接处表面波纹均匀。冲压件无脱层、裂缝。所有钢材经更为环保的陶化处理，通过粉末喷涂设备进行静电热固性粉末喷塑，喷塑均匀，漆膜附着力强，喷涂均匀，附着牢固，耐腐蚀，耐划擦，耐冲击。喷涂层应光滑均匀，色泽一致，无流挂、疙瘩、皱皮及飞漆等缺陷，而且手感细腻，附着力高，无静电，承重力不低于国家标准，为学生提供安全可靠的使用体验。</w:t>
            </w:r>
          </w:p>
          <w:p w14:paraId="04020C4B">
            <w:pPr>
              <w:widowControl/>
              <w:spacing w:line="360" w:lineRule="auto"/>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3.钢床的部件规格：</w:t>
            </w:r>
          </w:p>
          <w:p w14:paraId="0DD691A2">
            <w:pPr>
              <w:widowControl/>
              <w:spacing w:line="360" w:lineRule="auto"/>
              <w:jc w:val="left"/>
              <w:rPr>
                <w:rFonts w:hint="eastAsia" w:asciiTheme="minorEastAsia" w:hAnsiTheme="minorEastAsia" w:eastAsiaTheme="minorEastAsia" w:cstheme="minorEastAsia"/>
                <w:b/>
                <w:bCs/>
                <w:color w:val="auto"/>
                <w:kern w:val="0"/>
                <w:sz w:val="24"/>
                <w:szCs w:val="24"/>
                <w:highlight w:val="none"/>
                <w:shd w:val="clear" w:color="auto" w:fill="FFFFFF"/>
                <w:lang w:bidi="ar"/>
              </w:rPr>
            </w:pPr>
            <w:r>
              <w:rPr>
                <w:rFonts w:hint="eastAsia" w:asciiTheme="minorEastAsia" w:hAnsiTheme="minorEastAsia" w:eastAsiaTheme="minorEastAsia" w:cstheme="minorEastAsia"/>
                <w:color w:val="auto"/>
                <w:kern w:val="0"/>
                <w:sz w:val="24"/>
                <w:szCs w:val="24"/>
                <w:highlight w:val="none"/>
              </w:rPr>
              <w:t>3.1立柱：立柱选用优质冷轧钢板经成型机一次轧制而成的开口异型材，立柱必须做到里外双面喷塑，开口处有两道向内折弯以增强立柱的强度；成型后立面尺寸为72mm（±2mm）*72mm（±2mm）*厚度≧1.2mm，两侧立柱正面中间一面有2股由外向内凸进，达到加强硬度作用，（立柱详见部件示意图）。所有立柱两端带有塑制保护套，立柱保护套跟立柱必须紧密吻合，不容易拔出和脱落的问题。</w:t>
            </w:r>
          </w:p>
        </w:tc>
        <w:tc>
          <w:tcPr>
            <w:tcW w:w="779" w:type="dxa"/>
            <w:tcBorders>
              <w:top w:val="single" w:color="auto" w:sz="4" w:space="0"/>
              <w:left w:val="single" w:color="auto" w:sz="4" w:space="0"/>
              <w:bottom w:val="single" w:color="auto" w:sz="4" w:space="0"/>
              <w:right w:val="single" w:color="auto" w:sz="4" w:space="0"/>
            </w:tcBorders>
            <w:vAlign w:val="center"/>
          </w:tcPr>
          <w:p w14:paraId="4D63163E">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060CDDD0">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761E39DB">
            <w:pPr>
              <w:spacing w:line="360" w:lineRule="auto"/>
              <w:jc w:val="center"/>
              <w:rPr>
                <w:rFonts w:hint="eastAsia" w:ascii="宋体" w:hAnsi="宋体" w:cs="宋体"/>
                <w:color w:val="auto"/>
                <w:sz w:val="24"/>
                <w:szCs w:val="24"/>
                <w:highlight w:val="none"/>
              </w:rPr>
            </w:pPr>
          </w:p>
        </w:tc>
      </w:tr>
      <w:tr w14:paraId="11143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22CB9331">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100A33E4">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0C3817DE">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12630361">
            <w:pPr>
              <w:widowControl/>
              <w:spacing w:line="360" w:lineRule="auto"/>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3296" behindDoc="0" locked="0" layoutInCell="1" allowOverlap="1">
                  <wp:simplePos x="0" y="0"/>
                  <wp:positionH relativeFrom="column">
                    <wp:posOffset>1757045</wp:posOffset>
                  </wp:positionH>
                  <wp:positionV relativeFrom="paragraph">
                    <wp:posOffset>474980</wp:posOffset>
                  </wp:positionV>
                  <wp:extent cx="1454785" cy="1154430"/>
                  <wp:effectExtent l="201295" t="325755" r="210820" b="335915"/>
                  <wp:wrapTopAndBottom/>
                  <wp:docPr id="184" name="图片 5" descr="立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5" descr="立柱3"/>
                          <pic:cNvPicPr>
                            <a:picLocks noChangeAspect="1"/>
                          </pic:cNvPicPr>
                        </pic:nvPicPr>
                        <pic:blipFill>
                          <a:blip r:embed="rId21"/>
                          <a:srcRect l="7558" t="13271" r="19485" b="9605"/>
                          <a:stretch>
                            <a:fillRect/>
                          </a:stretch>
                        </pic:blipFill>
                        <pic:spPr>
                          <a:xfrm rot="2280000">
                            <a:off x="0" y="0"/>
                            <a:ext cx="1454785" cy="1154430"/>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4320" behindDoc="0" locked="0" layoutInCell="1" allowOverlap="1">
                  <wp:simplePos x="0" y="0"/>
                  <wp:positionH relativeFrom="column">
                    <wp:posOffset>71120</wp:posOffset>
                  </wp:positionH>
                  <wp:positionV relativeFrom="paragraph">
                    <wp:posOffset>57150</wp:posOffset>
                  </wp:positionV>
                  <wp:extent cx="1782445" cy="1800225"/>
                  <wp:effectExtent l="0" t="0" r="8255" b="3175"/>
                  <wp:wrapTopAndBottom/>
                  <wp:docPr id="183" name="图片 183" descr="D:\鸿盛（木杉）\weichat\WeChat Files\wxid_eybq4r1jecmi11\FileStorage\Temp\1680858751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D:\鸿盛（木杉）\weichat\WeChat Files\wxid_eybq4r1jecmi11\FileStorage\Temp\1680858751969.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82445" cy="1800225"/>
                          </a:xfrm>
                          <a:prstGeom prst="rect">
                            <a:avLst/>
                          </a:prstGeom>
                          <a:noFill/>
                          <a:ln>
                            <a:noFill/>
                          </a:ln>
                        </pic:spPr>
                      </pic:pic>
                    </a:graphicData>
                  </a:graphic>
                </wp:anchor>
              </w:drawing>
            </w:r>
          </w:p>
          <w:p w14:paraId="6C479AA5">
            <w:pPr>
              <w:pStyle w:val="5"/>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床立柱如图所示</w:t>
            </w:r>
          </w:p>
          <w:p w14:paraId="5405C908">
            <w:pPr>
              <w:widowControl/>
              <w:spacing w:line="360" w:lineRule="auto"/>
              <w:jc w:val="left"/>
              <w:rPr>
                <w:rFonts w:hint="eastAsia" w:asciiTheme="minorEastAsia" w:hAnsiTheme="minorEastAsia" w:eastAsiaTheme="minorEastAsia" w:cstheme="minorEastAsia"/>
                <w:color w:val="auto"/>
                <w:kern w:val="0"/>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08088E73">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34B6808">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2567468">
            <w:pPr>
              <w:spacing w:line="360" w:lineRule="auto"/>
              <w:jc w:val="center"/>
              <w:rPr>
                <w:rFonts w:hint="eastAsia" w:ascii="宋体" w:hAnsi="宋体" w:cs="宋体"/>
                <w:color w:val="auto"/>
                <w:sz w:val="24"/>
                <w:szCs w:val="24"/>
                <w:highlight w:val="none"/>
              </w:rPr>
            </w:pPr>
          </w:p>
        </w:tc>
      </w:tr>
      <w:tr w14:paraId="0978B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25F7CAAC">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000E871C">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6E62931C">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36C15471">
            <w:pPr>
              <w:widowControl/>
              <w:spacing w:line="36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3.2横梁：前、后长横梁采用型材80mm（±2mm）*38mm（±2mm）（含凸出舌头）*厚度≧1.3mm冷轧板经成型机一次轧成的开口异型管，前、后长横梁必须做到里外双面喷塑；横梁正面有一个宽度为26 mm（公差±2mm）的内凹加强筋，以增加横梁的强度，（床横梁详见部件示意图）。</w:t>
            </w:r>
          </w:p>
          <w:p w14:paraId="7A6335BC">
            <w:pPr>
              <w:pStyle w:val="5"/>
              <w:rPr>
                <w:rFonts w:hint="eastAsia" w:asciiTheme="minorEastAsia" w:hAnsiTheme="minorEastAsia" w:eastAsiaTheme="minorEastAsia" w:cstheme="minorEastAsia"/>
                <w:color w:val="auto"/>
                <w:sz w:val="24"/>
                <w:szCs w:val="24"/>
                <w:highlight w:val="none"/>
              </w:rPr>
            </w:pPr>
          </w:p>
          <w:p w14:paraId="01251B6E">
            <w:pPr>
              <w:ind w:firstLine="480"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5344" behindDoc="0" locked="0" layoutInCell="1" allowOverlap="1">
                  <wp:simplePos x="0" y="0"/>
                  <wp:positionH relativeFrom="column">
                    <wp:posOffset>304800</wp:posOffset>
                  </wp:positionH>
                  <wp:positionV relativeFrom="paragraph">
                    <wp:posOffset>80010</wp:posOffset>
                  </wp:positionV>
                  <wp:extent cx="1793875" cy="2011680"/>
                  <wp:effectExtent l="0" t="0" r="9525" b="7620"/>
                  <wp:wrapTopAndBottom/>
                  <wp:docPr id="1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6"/>
                          <pic:cNvPicPr>
                            <a:picLocks noChangeAspect="1"/>
                          </pic:cNvPicPr>
                        </pic:nvPicPr>
                        <pic:blipFill>
                          <a:blip r:embed="rId22"/>
                          <a:stretch>
                            <a:fillRect/>
                          </a:stretch>
                        </pic:blipFill>
                        <pic:spPr>
                          <a:xfrm>
                            <a:off x="0" y="0"/>
                            <a:ext cx="1793875" cy="2011680"/>
                          </a:xfrm>
                          <a:prstGeom prst="rect">
                            <a:avLst/>
                          </a:prstGeom>
                        </pic:spPr>
                      </pic:pic>
                    </a:graphicData>
                  </a:graphic>
                </wp:anchor>
              </w:drawing>
            </w:r>
          </w:p>
          <w:p w14:paraId="0D7A477E">
            <w:pPr>
              <w:ind w:firstLine="482"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color w:val="auto"/>
                <w:sz w:val="24"/>
                <w:szCs w:val="24"/>
                <w:highlight w:val="none"/>
              </w:rPr>
              <w:t>床横梁如图所示</w:t>
            </w:r>
          </w:p>
          <w:p w14:paraId="1F72F6DD">
            <w:pPr>
              <w:widowControl/>
              <w:spacing w:line="360" w:lineRule="auto"/>
              <w:jc w:val="left"/>
              <w:rPr>
                <w:rFonts w:hint="eastAsia" w:asciiTheme="minorEastAsia" w:hAnsiTheme="minorEastAsia" w:eastAsiaTheme="minorEastAsia" w:cstheme="minorEastAsia"/>
                <w:color w:val="auto"/>
                <w:kern w:val="0"/>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15CECB97">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2130DE3A">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7D93B4FC">
            <w:pPr>
              <w:spacing w:line="360" w:lineRule="auto"/>
              <w:jc w:val="center"/>
              <w:rPr>
                <w:rFonts w:hint="eastAsia" w:ascii="宋体" w:hAnsi="宋体" w:cs="宋体"/>
                <w:color w:val="auto"/>
                <w:sz w:val="24"/>
                <w:szCs w:val="24"/>
                <w:highlight w:val="none"/>
              </w:rPr>
            </w:pPr>
          </w:p>
        </w:tc>
      </w:tr>
      <w:tr w14:paraId="566A7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F8AEBA8">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15C0ED64">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4EED75E3">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682E4AA4">
            <w:pPr>
              <w:widowControl/>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3.3短横梁1上短横梁采用：型材80mm（±2mm）*38mm（±2mm）*厚度≧1.1mm（双面喷塑）；短横梁2下短横梁采用：型材70mm（±2mm）×27mm（±2mm）×厚度≧1.1mm（双面喷塑）。</w:t>
            </w:r>
          </w:p>
        </w:tc>
        <w:tc>
          <w:tcPr>
            <w:tcW w:w="779" w:type="dxa"/>
            <w:tcBorders>
              <w:top w:val="single" w:color="auto" w:sz="4" w:space="0"/>
              <w:left w:val="single" w:color="auto" w:sz="4" w:space="0"/>
              <w:bottom w:val="single" w:color="auto" w:sz="4" w:space="0"/>
              <w:right w:val="single" w:color="auto" w:sz="4" w:space="0"/>
            </w:tcBorders>
            <w:vAlign w:val="center"/>
          </w:tcPr>
          <w:p w14:paraId="5D4AEBBE">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7AD3AC1E">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DA8E651">
            <w:pPr>
              <w:spacing w:line="360" w:lineRule="auto"/>
              <w:jc w:val="center"/>
              <w:rPr>
                <w:rFonts w:hint="eastAsia" w:ascii="宋体" w:hAnsi="宋体" w:cs="宋体"/>
                <w:color w:val="auto"/>
                <w:sz w:val="24"/>
                <w:szCs w:val="24"/>
                <w:highlight w:val="none"/>
              </w:rPr>
            </w:pPr>
          </w:p>
        </w:tc>
      </w:tr>
      <w:tr w14:paraId="0E0BE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685443F3">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32CAE58E">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6293E50D">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217FB73C">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6368" behindDoc="0" locked="0" layoutInCell="1" allowOverlap="1">
                  <wp:simplePos x="0" y="0"/>
                  <wp:positionH relativeFrom="column">
                    <wp:posOffset>1516380</wp:posOffset>
                  </wp:positionH>
                  <wp:positionV relativeFrom="paragraph">
                    <wp:posOffset>1042035</wp:posOffset>
                  </wp:positionV>
                  <wp:extent cx="1000125" cy="1397000"/>
                  <wp:effectExtent l="0" t="0" r="3175" b="0"/>
                  <wp:wrapTopAndBottom/>
                  <wp:docPr id="186" name="图片 1" descr="f17a5b2397048a43917825d3b744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 descr="f17a5b2397048a43917825d3b7445a0"/>
                          <pic:cNvPicPr>
                            <a:picLocks noChangeAspect="1"/>
                          </pic:cNvPicPr>
                        </pic:nvPicPr>
                        <pic:blipFill>
                          <a:blip r:embed="rId23"/>
                          <a:stretch>
                            <a:fillRect/>
                          </a:stretch>
                        </pic:blipFill>
                        <pic:spPr>
                          <a:xfrm>
                            <a:off x="0" y="0"/>
                            <a:ext cx="1000125" cy="139700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4"/>
                <w:szCs w:val="24"/>
                <w:highlight w:val="none"/>
              </w:rPr>
              <w:t>3.4床挂件：采用优质钢板经冲压一次成型，成型后外形规格≧26*26*195*2.0mm，连接扣点采用不少于3个位置连接，床横梁与床立柱连接方式：卡扣式连接（无需螺栓），立柱上经数控冲床加工至少三个连接孔，通过与卡式连接件无缝式下压连接，实现使用后越用越紧的目的。</w:t>
            </w:r>
          </w:p>
          <w:p w14:paraId="23F09042">
            <w:pPr>
              <w:ind w:firstLine="482" w:firstLineChars="200"/>
              <w:rPr>
                <w:rFonts w:hint="eastAsia" w:asciiTheme="minorEastAsia" w:hAnsiTheme="minorEastAsia" w:eastAsia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床挂件如图所示：</w:t>
            </w:r>
          </w:p>
          <w:p w14:paraId="12CEE9D1">
            <w:pPr>
              <w:autoSpaceDE w:val="0"/>
              <w:autoSpaceDN w:val="0"/>
              <w:adjustRightInd w:val="0"/>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 xml:space="preserve">                    </w:t>
            </w:r>
          </w:p>
          <w:p w14:paraId="0518DF92">
            <w:pPr>
              <w:widowControl/>
              <w:spacing w:line="360" w:lineRule="auto"/>
              <w:jc w:val="left"/>
              <w:rPr>
                <w:rFonts w:hint="eastAsia" w:asciiTheme="minorEastAsia" w:hAnsiTheme="minorEastAsia" w:eastAsiaTheme="minorEastAsia" w:cstheme="minorEastAsia"/>
                <w:color w:val="auto"/>
                <w:kern w:val="0"/>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16EAC29E">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5DFCE308">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A3BE4CF">
            <w:pPr>
              <w:spacing w:line="360" w:lineRule="auto"/>
              <w:jc w:val="center"/>
              <w:rPr>
                <w:rFonts w:hint="eastAsia" w:ascii="宋体" w:hAnsi="宋体" w:cs="宋体"/>
                <w:color w:val="auto"/>
                <w:sz w:val="24"/>
                <w:szCs w:val="24"/>
                <w:highlight w:val="none"/>
              </w:rPr>
            </w:pPr>
          </w:p>
        </w:tc>
      </w:tr>
      <w:tr w14:paraId="63721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1EBE6C7E">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5ED66B59">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2B69C095">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38570800">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3.5边档头一侧采用空吹塑板：床头护栏中空吹塑板：挡头采用中空吹塑工艺，表面皮纹处理造型美观，材料为HDPE 高密度聚乙烯，绿色环保，具有较高的刚性和韧性，机械强度好，表面耐磨、抗污等良好的特性；带IPAD槽挡头，挡头长*宽*厚度（包括上、下厚度）最大尺寸要求：长度为746±5mm，高度不小于300mm，下部厚度为30±2mm。上部厚度为65±2mm挡头一边分布有个置物槽，可存放IPAD；且槽的尺寸为：底部长*宽尺寸不小于242*12 mm，两侧边高度尺寸为120±3 mm；挡头具有至少13个透气尺寸不小于63*15 mm的平椭圆孔和2个透气尺寸不小于126*32 mm的平椭圆孔；在挡头的左右两侧均有一次成型的警示线和刻度线，以确保符合国家标准的要求；挡头采用预埋2个M6螺母，以保证与立柱的连接可靠，（中空吹塑板详见部件示意图）。另一侧档头横管采用25*19mm（公差±1mm）D型管，管材壁厚≥1.0 mm。管材底面具有1个向内尺寸为R2的加强筋，从而保证横梁的强度；管材底部形状为R12.5mm±2mm的圆弧表面，起到安全防护作用，（D型管详见部件示意图）。其余竖管采用≧20*20*1.0mm方管。</w:t>
            </w:r>
          </w:p>
          <w:p w14:paraId="193C546F">
            <w:pPr>
              <w:pStyle w:val="12"/>
              <w:ind w:left="0" w:leftChars="0" w:firstLine="0" w:firstLineChars="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边档头中空吹塑板如图所示：</w:t>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7392" behindDoc="0" locked="0" layoutInCell="1" allowOverlap="1">
                  <wp:simplePos x="0" y="0"/>
                  <wp:positionH relativeFrom="column">
                    <wp:posOffset>152400</wp:posOffset>
                  </wp:positionH>
                  <wp:positionV relativeFrom="paragraph">
                    <wp:posOffset>192405</wp:posOffset>
                  </wp:positionV>
                  <wp:extent cx="3171190" cy="2341880"/>
                  <wp:effectExtent l="0" t="0" r="3810" b="7620"/>
                  <wp:wrapTopAndBottom/>
                  <wp:docPr id="187" name="Picture 2" descr="C:\Users\665566\Documents\Tencent Files\1461405236\FileRecv\305H挡头ipad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2" descr="C:\Users\665566\Documents\Tencent Files\1461405236\FileRecv\305H挡头ipad槽.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171190" cy="2341880"/>
                          </a:xfrm>
                          <a:prstGeom prst="rect">
                            <a:avLst/>
                          </a:prstGeom>
                          <a:noFill/>
                        </pic:spPr>
                      </pic:pic>
                    </a:graphicData>
                  </a:graphic>
                </wp:anchor>
              </w:drawing>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8416" behindDoc="0" locked="0" layoutInCell="1" allowOverlap="1">
                  <wp:simplePos x="0" y="0"/>
                  <wp:positionH relativeFrom="column">
                    <wp:posOffset>838200</wp:posOffset>
                  </wp:positionH>
                  <wp:positionV relativeFrom="paragraph">
                    <wp:posOffset>2576195</wp:posOffset>
                  </wp:positionV>
                  <wp:extent cx="2404745" cy="2484120"/>
                  <wp:effectExtent l="0" t="0" r="8255" b="5080"/>
                  <wp:wrapTopAndBottom/>
                  <wp:docPr id="1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
                          <pic:cNvPicPr>
                            <a:picLocks noChangeAspect="1"/>
                          </pic:cNvPicPr>
                        </pic:nvPicPr>
                        <pic:blipFill>
                          <a:blip r:embed="rId25"/>
                          <a:stretch>
                            <a:fillRect/>
                          </a:stretch>
                        </pic:blipFill>
                        <pic:spPr>
                          <a:xfrm>
                            <a:off x="0" y="0"/>
                            <a:ext cx="2404745" cy="2484120"/>
                          </a:xfrm>
                          <a:prstGeom prst="rect">
                            <a:avLst/>
                          </a:prstGeom>
                          <a:noFill/>
                          <a:ln>
                            <a:noFill/>
                          </a:ln>
                        </pic:spPr>
                      </pic:pic>
                    </a:graphicData>
                  </a:graphic>
                </wp:anchor>
              </w:drawing>
            </w:r>
          </w:p>
          <w:p w14:paraId="6C695BB3">
            <w:pPr>
              <w:pStyle w:val="12"/>
              <w:ind w:left="0" w:leftChars="0" w:firstLine="0" w:firstLineChars="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D型管如图所示</w:t>
            </w:r>
            <w:r>
              <w:rPr>
                <w:rFonts w:hint="eastAsia" w:asciiTheme="minorEastAsia" w:hAnsiTheme="minorEastAsia" w:eastAsiaTheme="minorEastAsia" w:cstheme="minorEastAsia"/>
                <w:color w:val="auto"/>
                <w:kern w:val="0"/>
                <w:sz w:val="24"/>
                <w:szCs w:val="24"/>
                <w:highlight w:val="none"/>
              </w:rPr>
              <w:t>：</w:t>
            </w:r>
          </w:p>
          <w:p w14:paraId="51C8CAD0">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09440" behindDoc="0" locked="0" layoutInCell="1" allowOverlap="1">
                  <wp:simplePos x="0" y="0"/>
                  <wp:positionH relativeFrom="column">
                    <wp:posOffset>0</wp:posOffset>
                  </wp:positionH>
                  <wp:positionV relativeFrom="paragraph">
                    <wp:posOffset>241935</wp:posOffset>
                  </wp:positionV>
                  <wp:extent cx="2537460" cy="1902460"/>
                  <wp:effectExtent l="0" t="0" r="2540" b="2540"/>
                  <wp:wrapTopAndBottom/>
                  <wp:docPr id="18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537460" cy="1902460"/>
                          </a:xfrm>
                          <a:prstGeom prst="rect">
                            <a:avLst/>
                          </a:prstGeom>
                        </pic:spPr>
                      </pic:pic>
                    </a:graphicData>
                  </a:graphic>
                </wp:anchor>
              </w:drawing>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0464" behindDoc="0" locked="0" layoutInCell="1" allowOverlap="1">
                  <wp:simplePos x="0" y="0"/>
                  <wp:positionH relativeFrom="column">
                    <wp:posOffset>457200</wp:posOffset>
                  </wp:positionH>
                  <wp:positionV relativeFrom="paragraph">
                    <wp:posOffset>2179955</wp:posOffset>
                  </wp:positionV>
                  <wp:extent cx="2329180" cy="2103120"/>
                  <wp:effectExtent l="0" t="0" r="7620" b="5080"/>
                  <wp:wrapTopAndBottom/>
                  <wp:docPr id="1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29180" cy="2103120"/>
                          </a:xfrm>
                          <a:prstGeom prst="rect">
                            <a:avLst/>
                          </a:prstGeom>
                        </pic:spPr>
                      </pic:pic>
                    </a:graphicData>
                  </a:graphic>
                </wp:anchor>
              </w:drawing>
            </w:r>
          </w:p>
          <w:p w14:paraId="126A28AD">
            <w:pPr>
              <w:autoSpaceDE w:val="0"/>
              <w:autoSpaceDN w:val="0"/>
              <w:adjustRightInd w:val="0"/>
              <w:spacing w:line="440" w:lineRule="exact"/>
              <w:jc w:val="left"/>
              <w:rPr>
                <w:rFonts w:hint="eastAsia" w:asciiTheme="minorEastAsia" w:hAnsiTheme="minorEastAsia" w:eastAsiaTheme="minorEastAsia" w:cstheme="minorEastAsia"/>
                <w:color w:val="auto"/>
                <w:kern w:val="0"/>
                <w:sz w:val="24"/>
                <w:szCs w:val="24"/>
                <w:highlight w:val="none"/>
              </w:rPr>
            </w:pPr>
          </w:p>
          <w:p w14:paraId="19C23E46">
            <w:pPr>
              <w:widowControl/>
              <w:spacing w:line="360" w:lineRule="auto"/>
              <w:jc w:val="left"/>
              <w:rPr>
                <w:rFonts w:hint="eastAsia" w:asciiTheme="minorEastAsia" w:hAnsiTheme="minorEastAsia" w:eastAsiaTheme="minorEastAsia" w:cstheme="minorEastAsia"/>
                <w:color w:val="auto"/>
                <w:kern w:val="0"/>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788664B9">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408AE7C5">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68E613C">
            <w:pPr>
              <w:spacing w:line="360" w:lineRule="auto"/>
              <w:jc w:val="center"/>
              <w:rPr>
                <w:rFonts w:hint="eastAsia" w:ascii="宋体" w:hAnsi="宋体" w:cs="宋体"/>
                <w:color w:val="auto"/>
                <w:sz w:val="24"/>
                <w:szCs w:val="24"/>
                <w:highlight w:val="none"/>
              </w:rPr>
            </w:pPr>
          </w:p>
        </w:tc>
      </w:tr>
      <w:tr w14:paraId="3C20B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1C62E482">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053BB44E">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0CB713AF">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5044D4EE">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3.6床护栏：总体高度均需达到国家标准≥300mm。护栏外框采用25*19mm（公差±1mm）D型管，管材壁厚≥1.0 mm。管材底面具有1个向内尺寸为R2的加强筋，从而保证横梁的强度；管材底部形状为R12.5mm±2mm的圆弧表面，起到安全防护作用。其余竖管采用≧20*20*1.0mm方管。护栏底部加焊≥0.8mm厚浮点冷轧钢板高度至少120mm，防止小物件跌落，底部钢板嵌入式护栏的设计结合了结构强度、功能性和美观性，增强了护栏的承重能力和抗冲击能力，结合上半部分的钢管，有效的加强通风、通光还有一定的隐私保护。</w:t>
            </w:r>
          </w:p>
          <w:p w14:paraId="4921E454">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3.7床桓：采用≥20mm*30mm，厚度≥0.7mm国标方形钢管，每个床位不低于5根。</w:t>
            </w:r>
          </w:p>
          <w:p w14:paraId="41CD04E0">
            <w:pPr>
              <w:widowControl/>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3.8蚊帐架：采用国标圆钢管，规格为直径≥16mm厚度≥1.0mm。</w:t>
            </w:r>
          </w:p>
        </w:tc>
        <w:tc>
          <w:tcPr>
            <w:tcW w:w="779" w:type="dxa"/>
            <w:tcBorders>
              <w:top w:val="single" w:color="auto" w:sz="4" w:space="0"/>
              <w:left w:val="single" w:color="auto" w:sz="4" w:space="0"/>
              <w:bottom w:val="single" w:color="auto" w:sz="4" w:space="0"/>
              <w:right w:val="single" w:color="auto" w:sz="4" w:space="0"/>
            </w:tcBorders>
            <w:vAlign w:val="center"/>
          </w:tcPr>
          <w:p w14:paraId="6A2BFDFA">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04AEACE2">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1478F39B">
            <w:pPr>
              <w:spacing w:line="360" w:lineRule="auto"/>
              <w:jc w:val="center"/>
              <w:rPr>
                <w:rFonts w:hint="eastAsia" w:ascii="宋体" w:hAnsi="宋体" w:cs="宋体"/>
                <w:color w:val="auto"/>
                <w:sz w:val="24"/>
                <w:szCs w:val="24"/>
                <w:highlight w:val="none"/>
              </w:rPr>
            </w:pPr>
          </w:p>
        </w:tc>
      </w:tr>
      <w:tr w14:paraId="33E01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9BBD30E">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259DE1C2">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12242287">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553DF886">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3.9爬梯：爬梯立柱采用66*33*40mm（公差±2mm），管材壁厚≥1.2 mm；造型成T型状，上下两端弧形（R9mm），且外侧面带有凹凸花纹（花纹要为模压一次成型），（爬梯立柱详见部件示意图）。爬梯立柱脚套规格：75*45*H35mm（公差±1mm），爬梯立柱脚套底部带有防滑圆点，爬梯立柱脚套为注塑一次成型（不允许3D打印）。配置至少5个爬梯踏板。踏板采用优质冷轧钢板冲压成型，尺寸为415mm*120mm*18mm（误差为±3mm），踏板表面有至少10条防滑条纹，踏板钢板厚度≥1.7mm ；踏板表面两端各有一个尺寸为 19*59mm（误差为±2mm）的内凹槽用于与一次注塑成型荧光板配合；荧光板采用一次注塑成型，尺寸为17mm*57mm（误差为±2mm），两端采用R9±2mm的圆角处理，其表面带有4个防滑点；荧光板底部与踏板采用两个倒扣圆柱进行固定，（踏板详见部件示意图）。</w:t>
            </w:r>
          </w:p>
          <w:p w14:paraId="68408260">
            <w:pPr>
              <w:autoSpaceDE w:val="0"/>
              <w:autoSpaceDN w:val="0"/>
              <w:adjustRightInd w:val="0"/>
              <w:spacing w:line="440" w:lineRule="exact"/>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爬梯立柱如图所示：</w:t>
            </w:r>
          </w:p>
          <w:p w14:paraId="541F6D99">
            <w:pPr>
              <w:pStyle w:val="12"/>
              <w:ind w:firstLine="480"/>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2512" behindDoc="0" locked="0" layoutInCell="1" allowOverlap="1">
                  <wp:simplePos x="0" y="0"/>
                  <wp:positionH relativeFrom="column">
                    <wp:posOffset>571500</wp:posOffset>
                  </wp:positionH>
                  <wp:positionV relativeFrom="paragraph">
                    <wp:posOffset>-3750310</wp:posOffset>
                  </wp:positionV>
                  <wp:extent cx="1682750" cy="2770505"/>
                  <wp:effectExtent l="0" t="0" r="6350" b="10795"/>
                  <wp:wrapTopAndBottom/>
                  <wp:docPr id="19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82750" cy="2770505"/>
                          </a:xfrm>
                          <a:prstGeom prst="rect">
                            <a:avLst/>
                          </a:prstGeom>
                        </pic:spPr>
                      </pic:pic>
                    </a:graphicData>
                  </a:graphic>
                </wp:anchor>
              </w:drawing>
            </w:r>
          </w:p>
          <w:p w14:paraId="4833C6C5">
            <w:pPr>
              <w:pStyle w:val="12"/>
              <w:ind w:left="0" w:leftChars="0" w:firstLine="0" w:firstLineChars="0"/>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踏板如图所示：</w:t>
            </w:r>
          </w:p>
          <w:p w14:paraId="062D6379">
            <w:pPr>
              <w:rPr>
                <w:rFonts w:hint="eastAsia" w:asciiTheme="minorEastAsia" w:hAnsiTheme="minorEastAsia" w:eastAsiaTheme="minorEastAsia" w:cstheme="minorEastAsia"/>
                <w:b/>
                <w:bCs/>
                <w:color w:val="auto"/>
                <w:kern w:val="0"/>
                <w:sz w:val="24"/>
                <w:szCs w:val="24"/>
                <w:highlight w:val="none"/>
              </w:rPr>
            </w:pPr>
          </w:p>
          <w:p w14:paraId="7C3B81B2">
            <w:pPr>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3536" behindDoc="0" locked="0" layoutInCell="1" allowOverlap="1">
                  <wp:simplePos x="0" y="0"/>
                  <wp:positionH relativeFrom="column">
                    <wp:posOffset>208280</wp:posOffset>
                  </wp:positionH>
                  <wp:positionV relativeFrom="paragraph">
                    <wp:posOffset>32385</wp:posOffset>
                  </wp:positionV>
                  <wp:extent cx="2665095" cy="1743075"/>
                  <wp:effectExtent l="0" t="0" r="1905" b="9525"/>
                  <wp:wrapTopAndBottom/>
                  <wp:docPr id="1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8"/>
                          <pic:cNvPicPr>
                            <a:picLocks noChangeAspect="1"/>
                          </pic:cNvPicPr>
                        </pic:nvPicPr>
                        <pic:blipFill>
                          <a:blip r:embed="rId29"/>
                          <a:stretch>
                            <a:fillRect/>
                          </a:stretch>
                        </pic:blipFill>
                        <pic:spPr>
                          <a:xfrm>
                            <a:off x="0" y="0"/>
                            <a:ext cx="2665095" cy="1743075"/>
                          </a:xfrm>
                          <a:prstGeom prst="rect">
                            <a:avLst/>
                          </a:prstGeom>
                        </pic:spPr>
                      </pic:pic>
                    </a:graphicData>
                  </a:graphic>
                </wp:anchor>
              </w:drawing>
            </w:r>
          </w:p>
          <w:p w14:paraId="69BC392C">
            <w:pPr>
              <w:rPr>
                <w:rFonts w:hint="eastAsia" w:asciiTheme="minorEastAsia" w:hAnsiTheme="minorEastAsia" w:eastAsiaTheme="minorEastAsia" w:cstheme="minorEastAsia"/>
                <w:b/>
                <w:bCs/>
                <w:color w:val="auto"/>
                <w:kern w:val="0"/>
                <w:sz w:val="24"/>
                <w:szCs w:val="24"/>
                <w:highlight w:val="none"/>
              </w:rPr>
            </w:pPr>
          </w:p>
          <w:p w14:paraId="46ACEBFB">
            <w:pPr>
              <w:rPr>
                <w:rFonts w:hint="eastAsia" w:asciiTheme="minorEastAsia" w:hAnsiTheme="minorEastAsia" w:eastAsiaTheme="minorEastAsia" w:cstheme="minorEastAsia"/>
                <w:b/>
                <w:bCs/>
                <w:color w:val="auto"/>
                <w:kern w:val="0"/>
                <w:sz w:val="24"/>
                <w:szCs w:val="24"/>
                <w:highlight w:val="none"/>
              </w:rPr>
            </w:pPr>
          </w:p>
          <w:p w14:paraId="6B25E76A">
            <w:pPr>
              <w:rPr>
                <w:rFonts w:hint="eastAsia" w:asciiTheme="minorEastAsia" w:hAnsiTheme="minorEastAsia" w:eastAsiaTheme="minorEastAsia" w:cstheme="minorEastAsia"/>
                <w:b/>
                <w:bCs/>
                <w:color w:val="auto"/>
                <w:kern w:val="0"/>
                <w:sz w:val="24"/>
                <w:szCs w:val="24"/>
                <w:highlight w:val="none"/>
              </w:rPr>
            </w:pPr>
          </w:p>
          <w:p w14:paraId="291730A3">
            <w:pPr>
              <w:rPr>
                <w:rFonts w:hint="eastAsia" w:asciiTheme="minorEastAsia" w:hAnsiTheme="minorEastAsia" w:eastAsiaTheme="minorEastAsia" w:cstheme="minorEastAsia"/>
                <w:b/>
                <w:bCs/>
                <w:color w:val="auto"/>
                <w:kern w:val="0"/>
                <w:sz w:val="24"/>
                <w:szCs w:val="24"/>
                <w:highlight w:val="none"/>
              </w:rPr>
            </w:pPr>
          </w:p>
          <w:p w14:paraId="03848223">
            <w:pPr>
              <w:rPr>
                <w:rFonts w:hint="eastAsia" w:asciiTheme="minorEastAsia" w:hAnsiTheme="minorEastAsia" w:eastAsiaTheme="minorEastAsia" w:cstheme="minorEastAsia"/>
                <w:b/>
                <w:bCs/>
                <w:color w:val="auto"/>
                <w:kern w:val="0"/>
                <w:sz w:val="24"/>
                <w:szCs w:val="24"/>
                <w:highlight w:val="none"/>
              </w:rPr>
            </w:pPr>
          </w:p>
          <w:p w14:paraId="662F00F2">
            <w:pPr>
              <w:rPr>
                <w:rFonts w:hint="eastAsia" w:asciiTheme="minorEastAsia" w:hAnsiTheme="minorEastAsia" w:eastAsiaTheme="minorEastAsia" w:cstheme="minorEastAsia"/>
                <w:b/>
                <w:bCs/>
                <w:color w:val="auto"/>
                <w:kern w:val="0"/>
                <w:sz w:val="24"/>
                <w:szCs w:val="24"/>
                <w:highlight w:val="none"/>
              </w:rPr>
            </w:pPr>
          </w:p>
          <w:p w14:paraId="5B9417D2">
            <w:pPr>
              <w:rPr>
                <w:rFonts w:hint="eastAsia" w:asciiTheme="minorEastAsia" w:hAnsiTheme="minorEastAsia" w:eastAsiaTheme="minorEastAsia" w:cstheme="minorEastAsia"/>
                <w:color w:val="auto"/>
                <w:sz w:val="24"/>
                <w:szCs w:val="24"/>
                <w:highlight w:val="none"/>
              </w:rPr>
            </w:pPr>
          </w:p>
          <w:p w14:paraId="358B3194">
            <w:pPr>
              <w:pStyle w:val="5"/>
              <w:rPr>
                <w:rFonts w:hint="eastAsia" w:asciiTheme="minorEastAsia" w:hAnsiTheme="minorEastAsia" w:eastAsiaTheme="minorEastAsia" w:cstheme="minorEastAsia"/>
                <w:color w:val="auto"/>
                <w:sz w:val="24"/>
                <w:szCs w:val="24"/>
                <w:highlight w:val="none"/>
              </w:rPr>
            </w:pPr>
          </w:p>
          <w:p w14:paraId="76009867">
            <w:pPr>
              <w:rPr>
                <w:rFonts w:hint="eastAsia" w:asciiTheme="minorEastAsia" w:hAnsiTheme="minorEastAsia" w:eastAsiaTheme="minorEastAsia" w:cstheme="minorEastAsia"/>
                <w:color w:val="auto"/>
                <w:sz w:val="24"/>
                <w:szCs w:val="24"/>
                <w:highlight w:val="none"/>
              </w:rPr>
            </w:pPr>
          </w:p>
          <w:p w14:paraId="32E717F5">
            <w:pPr>
              <w:widowControl/>
              <w:spacing w:line="36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1488" behindDoc="0" locked="0" layoutInCell="1" allowOverlap="1">
                  <wp:simplePos x="0" y="0"/>
                  <wp:positionH relativeFrom="column">
                    <wp:posOffset>1953895</wp:posOffset>
                  </wp:positionH>
                  <wp:positionV relativeFrom="paragraph">
                    <wp:posOffset>-2367280</wp:posOffset>
                  </wp:positionV>
                  <wp:extent cx="3148330" cy="3622040"/>
                  <wp:effectExtent l="0" t="0" r="1270" b="10160"/>
                  <wp:wrapTopAndBottom/>
                  <wp:docPr id="1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8"/>
                          <pic:cNvPicPr>
                            <a:picLocks noChangeAspect="1"/>
                          </pic:cNvPicPr>
                        </pic:nvPicPr>
                        <pic:blipFill>
                          <a:blip r:embed="rId30"/>
                          <a:stretch>
                            <a:fillRect/>
                          </a:stretch>
                        </pic:blipFill>
                        <pic:spPr>
                          <a:xfrm>
                            <a:off x="0" y="0"/>
                            <a:ext cx="3148330" cy="3622040"/>
                          </a:xfrm>
                          <a:prstGeom prst="rect">
                            <a:avLst/>
                          </a:prstGeom>
                        </pic:spPr>
                      </pic:pic>
                    </a:graphicData>
                  </a:graphic>
                </wp:anchor>
              </w:drawing>
            </w:r>
            <w:r>
              <w:rPr>
                <w:rFonts w:hint="eastAsia" w:asciiTheme="minorEastAsia" w:hAnsiTheme="minorEastAsia" w:eastAsiaTheme="minorEastAsia" w:cstheme="minorEastAsia"/>
                <w:b/>
                <w:bCs/>
                <w:color w:val="auto"/>
                <w:sz w:val="24"/>
                <w:szCs w:val="24"/>
                <w:highlight w:val="none"/>
              </w:rPr>
              <w:t>组合式公寓床-铁架床设计图</w:t>
            </w:r>
          </w:p>
        </w:tc>
        <w:tc>
          <w:tcPr>
            <w:tcW w:w="779" w:type="dxa"/>
            <w:tcBorders>
              <w:top w:val="single" w:color="auto" w:sz="4" w:space="0"/>
              <w:left w:val="single" w:color="auto" w:sz="4" w:space="0"/>
              <w:bottom w:val="single" w:color="auto" w:sz="4" w:space="0"/>
              <w:right w:val="single" w:color="auto" w:sz="4" w:space="0"/>
            </w:tcBorders>
            <w:vAlign w:val="center"/>
          </w:tcPr>
          <w:p w14:paraId="7F6DE326">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0E49DF46">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0914401B">
            <w:pPr>
              <w:spacing w:line="360" w:lineRule="auto"/>
              <w:jc w:val="center"/>
              <w:rPr>
                <w:rFonts w:hint="eastAsia" w:ascii="宋体" w:hAnsi="宋体" w:cs="宋体"/>
                <w:color w:val="auto"/>
                <w:sz w:val="24"/>
                <w:szCs w:val="24"/>
                <w:highlight w:val="none"/>
              </w:rPr>
            </w:pPr>
          </w:p>
        </w:tc>
      </w:tr>
      <w:tr w14:paraId="3D157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118072A6">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55C57AB8">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7496749A">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14:paraId="0E58863C">
            <w:pPr>
              <w:spacing w:line="480" w:lineRule="auto"/>
              <w:jc w:val="left"/>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（2）组合式公寓床-木家具</w:t>
            </w:r>
          </w:p>
          <w:p w14:paraId="4FFCFE1D">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1.规格:</w:t>
            </w:r>
            <w:r>
              <w:rPr>
                <w:rFonts w:hint="eastAsia" w:asciiTheme="minorEastAsia" w:hAnsiTheme="minorEastAsia" w:eastAsiaTheme="minorEastAsia" w:cstheme="minorEastAsia"/>
                <w:color w:val="auto"/>
                <w:kern w:val="0"/>
                <w:sz w:val="24"/>
                <w:szCs w:val="24"/>
                <w:highlight w:val="none"/>
              </w:rPr>
              <w:t>2040*618*1695mm（长*深*高，±10mm）</w:t>
            </w:r>
          </w:p>
          <w:p w14:paraId="603E0112">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2.材质要求:板材厚度要求桌面≧25mm，背板及抽底板≧5mm,其余板材厚度≧17mm。柜体及床板采用E0级环保板材，甲醛释放量需符合国家标准（≦0.05mg/m³），板露边处采用同色封边条加热熔胶封边,保证受热受冻不会脱胶开裂。木家具所有板材材质均采用国家标准板材，符合国家通用标准，保证受热受冻不会脱胶开裂。</w:t>
            </w:r>
          </w:p>
          <w:p w14:paraId="29D1FBAB">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3.木家具的部件规格：</w:t>
            </w:r>
          </w:p>
          <w:p w14:paraId="6AB23F45">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3.1桌面1210*600mm(士2mm)，桌面整体厚度达到≥25mm；采用E0级中密度纤维板贴三聚氰胺面+PP注塑封边、防水防潮；注塑单边厚度≥2mm，注塑边总高度30mm(士2mm)，保证使用过程中不易被撕掉或脱落；靠近人体方向封边面为倒内斜边设计，规格为≥15*15mm，有效防止学生碰伤；衣柜连接桌面的支撑条宽度≥30mm，上折边L型固定在桌面下边；桌面中间有注塑封边带一体注塑成型穿线孔为φ60mm（±2mm），（详见注塑封边桌面部件图）。出线孔配有装饰盖。书桌侧边配有抽屉及边柜，书桌上方配有书架规格为1200*240*935mm。</w:t>
            </w:r>
          </w:p>
          <w:p w14:paraId="72823CA7">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3.2衣柜整体规格为830*618*1695mm，衣柜上部为衣服叠放区域，下部设有挂放区域，柜身采用≥17mm三聚氰胺双饰面板制作，基材为E0级中密度纤维板；背板及抽底板为5mm中纤板（双面贴）。板露边处采用同色PVC加热熔胶封边，保证受热受冻不会脱胶开裂。</w:t>
            </w:r>
          </w:p>
          <w:p w14:paraId="47444776">
            <w:pPr>
              <w:spacing w:line="480" w:lineRule="auto"/>
              <w:jc w:val="left"/>
              <w:rPr>
                <w:rFonts w:hint="eastAsia" w:ascii="宋体" w:hAnsi="宋体" w:cs="宋体"/>
                <w:color w:val="auto"/>
                <w:sz w:val="24"/>
                <w:szCs w:val="24"/>
                <w:highlight w:val="none"/>
              </w:rPr>
            </w:pPr>
            <w:r>
              <w:rPr>
                <w:rFonts w:hint="eastAsia" w:asciiTheme="minorEastAsia" w:hAnsiTheme="minorEastAsia" w:eastAsiaTheme="minorEastAsia" w:cstheme="minorEastAsia"/>
                <w:color w:val="auto"/>
                <w:kern w:val="0"/>
                <w:sz w:val="24"/>
                <w:szCs w:val="24"/>
                <w:highlight w:val="none"/>
              </w:rPr>
              <w:t>3.3配件部分:抽屉采用三节导轨，铰链采用翻板式铰链，锁片为一字注塑包边锁片：锁片由两种材料组成，最外面为ABS材料芯部为不锈钢零件进行一次注塑成型，两端为半圆型设计，芯部零件采用1.2mm厚度的不锈钢板一次冲压成型，这样不但保证锁片的强度而且保证锁片边角对使用者在使用时的安全；锁片最大尺寸规格为：总长75±3mm， 宽 17±2mm， 高 3.5±1mm，（详见一字注塑包边锁片部件图）。配锁孔护盖;铝合金圆形荧光拉手：规格：Ф25（±1）*25（±1）mm,固定孔为M4;底座为Ф25（±1）*3（±1）mm；中间高度为12（±1）mm；上部为三层防滑设计，高度为9mm（±1）,上圆弧角R度为大于1.5mm；顶层为圆形，内带中空圆形荧光设计；荧光采用滴胶工艺制作，宽度≥3mm ,厚度≥1mm;荧光条内圆直径≥13mm,外圆直径≥21mm，（详见铝合金圆形荧光拉手部件图）。挂衣杆采用直径≥26mm不锈钢管，衣杆两侧配固定架和衣杆盖：锌合金衣杆固定架采用圆形留有四孔固定位规格：57*57*11mm（±2％）厚度≥1.4mm，支撑衣杆处宽度≥7.5mm厚度≥3mm；配有锌合金衣杆盖，锌合金衣杆盖规格：60*60*13mm（±2％）厚度≥1.1mm，与固定架紧密结合，防止使用时脱落，（详见衣杆两侧配固定架和衣杆盖部件图）。柜体底部配防水脚垫。</w:t>
            </w:r>
          </w:p>
        </w:tc>
        <w:tc>
          <w:tcPr>
            <w:tcW w:w="779" w:type="dxa"/>
            <w:tcBorders>
              <w:top w:val="single" w:color="auto" w:sz="4" w:space="0"/>
              <w:left w:val="single" w:color="auto" w:sz="4" w:space="0"/>
              <w:bottom w:val="single" w:color="auto" w:sz="4" w:space="0"/>
              <w:right w:val="single" w:color="auto" w:sz="4" w:space="0"/>
            </w:tcBorders>
            <w:vAlign w:val="center"/>
          </w:tcPr>
          <w:p w14:paraId="2632481A">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6A80FFFD">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7793FF24">
            <w:pPr>
              <w:spacing w:line="360" w:lineRule="auto"/>
              <w:jc w:val="center"/>
              <w:rPr>
                <w:rFonts w:hint="eastAsia" w:ascii="宋体" w:hAnsi="宋体" w:cs="宋体"/>
                <w:color w:val="auto"/>
                <w:sz w:val="24"/>
                <w:szCs w:val="24"/>
                <w:highlight w:val="none"/>
              </w:rPr>
            </w:pPr>
          </w:p>
        </w:tc>
      </w:tr>
      <w:tr w14:paraId="53F9B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35426E18">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36A1A4CB">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42277415">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14:paraId="2F776817">
            <w:pPr>
              <w:pStyle w:val="12"/>
              <w:ind w:firstLine="482"/>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注塑封边桌面如图所示：</w:t>
            </w:r>
          </w:p>
          <w:p w14:paraId="522E9184">
            <w:pPr>
              <w:pStyle w:val="12"/>
              <w:ind w:firstLine="48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4560" behindDoc="0" locked="0" layoutInCell="1" allowOverlap="1">
                  <wp:simplePos x="0" y="0"/>
                  <wp:positionH relativeFrom="column">
                    <wp:posOffset>571500</wp:posOffset>
                  </wp:positionH>
                  <wp:positionV relativeFrom="paragraph">
                    <wp:posOffset>38100</wp:posOffset>
                  </wp:positionV>
                  <wp:extent cx="3019425" cy="1902460"/>
                  <wp:effectExtent l="0" t="0" r="3175" b="2540"/>
                  <wp:wrapTopAndBottom/>
                  <wp:docPr id="1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019425" cy="1902460"/>
                          </a:xfrm>
                          <a:prstGeom prst="rect">
                            <a:avLst/>
                          </a:prstGeom>
                        </pic:spPr>
                      </pic:pic>
                    </a:graphicData>
                  </a:graphic>
                </wp:anchor>
              </w:drawing>
            </w:r>
          </w:p>
          <w:p w14:paraId="7E9B6770">
            <w:pPr>
              <w:spacing w:line="360" w:lineRule="auto"/>
              <w:jc w:val="left"/>
              <w:rPr>
                <w:rFonts w:hint="eastAsia"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464943A1">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58FA6EC">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7D3D35DC">
            <w:pPr>
              <w:spacing w:line="360" w:lineRule="auto"/>
              <w:jc w:val="center"/>
              <w:rPr>
                <w:rFonts w:hint="eastAsia" w:ascii="宋体" w:hAnsi="宋体" w:cs="宋体"/>
                <w:color w:val="auto"/>
                <w:sz w:val="24"/>
                <w:szCs w:val="24"/>
                <w:highlight w:val="none"/>
              </w:rPr>
            </w:pPr>
          </w:p>
        </w:tc>
      </w:tr>
      <w:tr w14:paraId="5015D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9FF17E7">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0A6FE8D4">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1AFDC003">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14:paraId="47CA9134">
            <w:pPr>
              <w:pStyle w:val="12"/>
              <w:ind w:firstLine="482"/>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一字注塑包边锁片如图所示：</w:t>
            </w:r>
          </w:p>
          <w:p w14:paraId="13F9229A">
            <w:pPr>
              <w:pStyle w:val="12"/>
              <w:ind w:firstLine="48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5584" behindDoc="0" locked="0" layoutInCell="1" allowOverlap="1">
                  <wp:simplePos x="0" y="0"/>
                  <wp:positionH relativeFrom="column">
                    <wp:posOffset>571500</wp:posOffset>
                  </wp:positionH>
                  <wp:positionV relativeFrom="paragraph">
                    <wp:posOffset>-5035550</wp:posOffset>
                  </wp:positionV>
                  <wp:extent cx="2402840" cy="1423035"/>
                  <wp:effectExtent l="0" t="0" r="10160" b="12065"/>
                  <wp:wrapTopAndBottom/>
                  <wp:docPr id="1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
                          <pic:cNvPicPr>
                            <a:picLocks noChangeAspect="1"/>
                          </pic:cNvPicPr>
                        </pic:nvPicPr>
                        <pic:blipFill>
                          <a:blip r:embed="rId32" cstate="print"/>
                          <a:stretch>
                            <a:fillRect/>
                          </a:stretch>
                        </pic:blipFill>
                        <pic:spPr>
                          <a:xfrm>
                            <a:off x="0" y="0"/>
                            <a:ext cx="2402840" cy="1423035"/>
                          </a:xfrm>
                          <a:prstGeom prst="rect">
                            <a:avLst/>
                          </a:prstGeom>
                          <a:noFill/>
                          <a:ln w="9525">
                            <a:noFill/>
                          </a:ln>
                        </pic:spPr>
                      </pic:pic>
                    </a:graphicData>
                  </a:graphic>
                </wp:anchor>
              </w:drawing>
            </w:r>
          </w:p>
          <w:p w14:paraId="425DFCBD">
            <w:pPr>
              <w:spacing w:line="360" w:lineRule="auto"/>
              <w:jc w:val="left"/>
              <w:rPr>
                <w:rFonts w:hint="eastAsia"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158A4D7D">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76EEA476">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6B25B114">
            <w:pPr>
              <w:spacing w:line="360" w:lineRule="auto"/>
              <w:jc w:val="center"/>
              <w:rPr>
                <w:rFonts w:hint="eastAsia" w:ascii="宋体" w:hAnsi="宋体" w:cs="宋体"/>
                <w:color w:val="auto"/>
                <w:sz w:val="24"/>
                <w:szCs w:val="24"/>
                <w:highlight w:val="none"/>
              </w:rPr>
            </w:pPr>
          </w:p>
        </w:tc>
      </w:tr>
      <w:tr w14:paraId="515EA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7959E53A">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7A306F4D">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323F3863">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14:paraId="5C5704AC">
            <w:pPr>
              <w:pStyle w:val="12"/>
              <w:ind w:firstLine="482"/>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铝合金圆形荧光拉手如图所示：</w:t>
            </w:r>
          </w:p>
          <w:p w14:paraId="6D7FD29C">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6608" behindDoc="0" locked="0" layoutInCell="1" allowOverlap="1">
                  <wp:simplePos x="0" y="0"/>
                  <wp:positionH relativeFrom="column">
                    <wp:posOffset>1371600</wp:posOffset>
                  </wp:positionH>
                  <wp:positionV relativeFrom="paragraph">
                    <wp:posOffset>15240</wp:posOffset>
                  </wp:positionV>
                  <wp:extent cx="1507490" cy="1734185"/>
                  <wp:effectExtent l="0" t="0" r="3810" b="5715"/>
                  <wp:wrapTopAndBottom/>
                  <wp:docPr id="1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8"/>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07490" cy="1734185"/>
                          </a:xfrm>
                          <a:prstGeom prst="rect">
                            <a:avLst/>
                          </a:prstGeom>
                        </pic:spPr>
                      </pic:pic>
                    </a:graphicData>
                  </a:graphic>
                </wp:anchor>
              </w:drawing>
            </w:r>
            <w:r>
              <w:rPr>
                <w:rFonts w:hint="eastAsia" w:asciiTheme="minorEastAsia" w:hAnsiTheme="minorEastAsia" w:eastAsiaTheme="minorEastAsia" w:cstheme="minorEastAsia"/>
                <w:color w:val="auto"/>
                <w:sz w:val="24"/>
                <w:szCs w:val="24"/>
                <w:highlight w:val="none"/>
              </w:rPr>
              <w:t xml:space="preserve">   </w:t>
            </w:r>
          </w:p>
          <w:p w14:paraId="4FDF1F3D">
            <w:pPr>
              <w:tabs>
                <w:tab w:val="left" w:pos="992"/>
                <w:tab w:val="left" w:pos="1080"/>
              </w:tabs>
              <w:spacing w:line="360" w:lineRule="auto"/>
              <w:rPr>
                <w:rFonts w:hint="eastAsia"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6EB43CC6">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2D165E5B">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53CCFC99">
            <w:pPr>
              <w:spacing w:line="360" w:lineRule="auto"/>
              <w:jc w:val="center"/>
              <w:rPr>
                <w:rFonts w:hint="eastAsia" w:ascii="宋体" w:hAnsi="宋体" w:cs="宋体"/>
                <w:color w:val="auto"/>
                <w:sz w:val="24"/>
                <w:szCs w:val="24"/>
                <w:highlight w:val="none"/>
              </w:rPr>
            </w:pPr>
          </w:p>
        </w:tc>
      </w:tr>
      <w:tr w14:paraId="7484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2B8029D6">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2C62B7B1">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7F1BA7EC">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6085B02D">
            <w:pPr>
              <w:ind w:firstLine="482" w:firstLineChars="200"/>
              <w:rPr>
                <w:rFonts w:hint="eastAsia" w:asciiTheme="minorEastAsia" w:hAnsiTheme="minorEastAsia" w:eastAsiaTheme="minorEastAsia" w:cstheme="minorEastAsia"/>
                <w:b/>
                <w:bCs/>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衣杆两侧配固定架和衣杆盖如图所示：</w:t>
            </w:r>
          </w:p>
          <w:p w14:paraId="4C350DD2">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3006725" cy="3225800"/>
                  <wp:effectExtent l="0" t="0" r="3175" b="0"/>
                  <wp:docPr id="1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pic:cNvPicPr>
                            <a:picLocks noChangeAspect="1"/>
                          </pic:cNvPicPr>
                        </pic:nvPicPr>
                        <pic:blipFill>
                          <a:blip r:embed="rId34"/>
                          <a:stretch>
                            <a:fillRect/>
                          </a:stretch>
                        </pic:blipFill>
                        <pic:spPr>
                          <a:xfrm>
                            <a:off x="0" y="0"/>
                            <a:ext cx="3006725" cy="3225800"/>
                          </a:xfrm>
                          <a:prstGeom prst="rect">
                            <a:avLst/>
                          </a:prstGeom>
                          <a:noFill/>
                          <a:ln>
                            <a:noFill/>
                          </a:ln>
                        </pic:spPr>
                      </pic:pic>
                    </a:graphicData>
                  </a:graphic>
                </wp:inline>
              </w:drawing>
            </w:r>
            <w:r>
              <w:rPr>
                <w:rFonts w:hint="eastAsia" w:asciiTheme="minorEastAsia" w:hAnsiTheme="minorEastAsia" w:eastAsiaTheme="minorEastAsia" w:cstheme="minorEastAsia"/>
                <w:color w:val="auto"/>
                <w:sz w:val="24"/>
                <w:szCs w:val="24"/>
                <w:highlight w:val="none"/>
              </w:rPr>
              <w:t xml:space="preserve">   </w:t>
            </w:r>
            <w:r>
              <w:rPr>
                <w:rFonts w:hint="eastAsia" w:asciiTheme="minorEastAsia" w:hAnsiTheme="minorEastAsia" w:eastAsiaTheme="minorEastAsia" w:cstheme="minorEastAsia"/>
                <w:color w:val="auto"/>
                <w:sz w:val="24"/>
                <w:szCs w:val="24"/>
                <w:highlight w:val="none"/>
              </w:rPr>
              <w:drawing>
                <wp:inline distT="0" distB="0" distL="114300" distR="114300">
                  <wp:extent cx="5271135" cy="3667760"/>
                  <wp:effectExtent l="0" t="0" r="12065" b="2540"/>
                  <wp:docPr id="1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3"/>
                          <pic:cNvPicPr>
                            <a:picLocks noChangeAspect="1"/>
                          </pic:cNvPicPr>
                        </pic:nvPicPr>
                        <pic:blipFill>
                          <a:blip r:embed="rId35"/>
                          <a:stretch>
                            <a:fillRect/>
                          </a:stretch>
                        </pic:blipFill>
                        <pic:spPr>
                          <a:xfrm>
                            <a:off x="0" y="0"/>
                            <a:ext cx="5271135" cy="3667760"/>
                          </a:xfrm>
                          <a:prstGeom prst="rect">
                            <a:avLst/>
                          </a:prstGeom>
                          <a:noFill/>
                          <a:ln>
                            <a:noFill/>
                          </a:ln>
                        </pic:spPr>
                      </pic:pic>
                    </a:graphicData>
                  </a:graphic>
                </wp:inline>
              </w:drawing>
            </w:r>
          </w:p>
          <w:p w14:paraId="72005CA2">
            <w:pPr>
              <w:spacing w:line="360" w:lineRule="auto"/>
              <w:rPr>
                <w:rFonts w:hint="eastAsia"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6560BB13">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4124A941">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36937E33">
            <w:pPr>
              <w:spacing w:line="360" w:lineRule="auto"/>
              <w:jc w:val="center"/>
              <w:rPr>
                <w:rFonts w:hint="eastAsia" w:ascii="宋体" w:hAnsi="宋体" w:cs="宋体"/>
                <w:color w:val="auto"/>
                <w:sz w:val="24"/>
                <w:szCs w:val="24"/>
                <w:highlight w:val="none"/>
              </w:rPr>
            </w:pPr>
          </w:p>
        </w:tc>
      </w:tr>
      <w:tr w14:paraId="4B367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622AE10E">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08BAC252">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15C5E270">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754A63EA">
            <w:pPr>
              <w:spacing w:line="480" w:lineRule="auto"/>
              <w:jc w:val="left"/>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kern w:val="0"/>
                <w:sz w:val="24"/>
                <w:szCs w:val="24"/>
                <w:highlight w:val="none"/>
              </w:rPr>
              <w:t>3.4杉木床铺板：规格按床架实际空间制作；采用双面刨光厚度≥16mm杉木板，杉木铺板≦7块，板间缝隙≦5mm，经烘干、正反双面抛光处理，木材进行防虫、除脂、干燥处理，产品结构强度和外观美观牢固，材质符合国家标准要求，床板背面采用4根规格≥30mm*40mm实木方条横杠钉制加固，符合相关质量和环保要求。采用E0级环保板材，甲醛释放量需符合国家标准（≦0.05mg/m³），为学生营造健康无污染的居住环境。</w:t>
            </w:r>
            <w:r>
              <w:rPr>
                <w:rFonts w:hint="eastAsia" w:asciiTheme="minorEastAsia" w:hAnsiTheme="minorEastAsia" w:eastAsiaTheme="minorEastAsia" w:cstheme="minorEastAsia"/>
                <w:color w:val="auto"/>
                <w:sz w:val="24"/>
                <w:szCs w:val="24"/>
                <w:highlight w:val="none"/>
              </w:rPr>
              <w:t xml:space="preserve">                          </w:t>
            </w:r>
          </w:p>
          <w:p w14:paraId="5D07E582">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组合式公寓床-木家具设计图</w:t>
            </w:r>
            <w:r>
              <w:rPr>
                <w:rFonts w:hint="eastAsia" w:asciiTheme="minorEastAsia" w:hAnsiTheme="minorEastAsia" w:eastAsiaTheme="minorEastAsia" w:cstheme="minorEastAsia"/>
                <w:color w:val="auto"/>
                <w:kern w:val="0"/>
                <w:sz w:val="24"/>
                <w:szCs w:val="24"/>
                <w:highlight w:val="none"/>
              </w:rPr>
              <w:t>杉木床铺板设计图</w:t>
            </w:r>
          </w:p>
          <w:p w14:paraId="3AA1FD46">
            <w:pPr>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7632" behindDoc="0" locked="0" layoutInCell="1" allowOverlap="1">
                  <wp:simplePos x="0" y="0"/>
                  <wp:positionH relativeFrom="column">
                    <wp:posOffset>218440</wp:posOffset>
                  </wp:positionH>
                  <wp:positionV relativeFrom="paragraph">
                    <wp:posOffset>-3507105</wp:posOffset>
                  </wp:positionV>
                  <wp:extent cx="3480435" cy="3084830"/>
                  <wp:effectExtent l="0" t="0" r="12065" b="1270"/>
                  <wp:wrapTopAndBottom/>
                  <wp:docPr id="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
                          <pic:cNvPicPr>
                            <a:picLocks noChangeAspect="1"/>
                          </pic:cNvPicPr>
                        </pic:nvPicPr>
                        <pic:blipFill>
                          <a:blip r:embed="rId36"/>
                          <a:stretch>
                            <a:fillRect/>
                          </a:stretch>
                        </pic:blipFill>
                        <pic:spPr>
                          <a:xfrm>
                            <a:off x="0" y="0"/>
                            <a:ext cx="3480435" cy="3084830"/>
                          </a:xfrm>
                          <a:prstGeom prst="rect">
                            <a:avLst/>
                          </a:prstGeom>
                          <a:noFill/>
                          <a:ln>
                            <a:noFill/>
                          </a:ln>
                        </pic:spPr>
                      </pic:pic>
                    </a:graphicData>
                  </a:graphic>
                </wp:anchor>
              </w:drawing>
            </w:r>
          </w:p>
          <w:p w14:paraId="0E54472D">
            <w:pPr>
              <w:jc w:val="left"/>
              <w:rPr>
                <w:rFonts w:hint="eastAsia" w:asciiTheme="minorEastAsia" w:hAnsiTheme="minorEastAsia" w:eastAsiaTheme="minorEastAsia" w:cstheme="minorEastAsia"/>
                <w:b/>
                <w:bCs/>
                <w:color w:val="auto"/>
                <w:sz w:val="24"/>
                <w:szCs w:val="24"/>
                <w:highlight w:val="none"/>
              </w:rPr>
            </w:pPr>
          </w:p>
          <w:p w14:paraId="4DF4C099">
            <w:pPr>
              <w:spacing w:line="360" w:lineRule="auto"/>
              <w:rPr>
                <w:rFonts w:hint="eastAsia" w:ascii="宋体" w:hAnsi="宋体" w:cs="宋体"/>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8656" behindDoc="0" locked="0" layoutInCell="1" allowOverlap="1">
                  <wp:simplePos x="0" y="0"/>
                  <wp:positionH relativeFrom="column">
                    <wp:posOffset>-68580</wp:posOffset>
                  </wp:positionH>
                  <wp:positionV relativeFrom="paragraph">
                    <wp:posOffset>1273810</wp:posOffset>
                  </wp:positionV>
                  <wp:extent cx="3469640" cy="2132330"/>
                  <wp:effectExtent l="0" t="0" r="10160" b="1270"/>
                  <wp:wrapTopAndBottom/>
                  <wp:docPr id="2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
                          <pic:cNvPicPr>
                            <a:picLocks noChangeAspect="1"/>
                          </pic:cNvPicPr>
                        </pic:nvPicPr>
                        <pic:blipFill>
                          <a:blip r:embed="rId37"/>
                          <a:stretch>
                            <a:fillRect/>
                          </a:stretch>
                        </pic:blipFill>
                        <pic:spPr>
                          <a:xfrm>
                            <a:off x="0" y="0"/>
                            <a:ext cx="3469640" cy="2132330"/>
                          </a:xfrm>
                          <a:prstGeom prst="rect">
                            <a:avLst/>
                          </a:prstGeom>
                        </pic:spPr>
                      </pic:pic>
                    </a:graphicData>
                  </a:graphic>
                </wp:anchor>
              </w:drawing>
            </w:r>
          </w:p>
        </w:tc>
        <w:tc>
          <w:tcPr>
            <w:tcW w:w="779" w:type="dxa"/>
            <w:tcBorders>
              <w:top w:val="single" w:color="auto" w:sz="4" w:space="0"/>
              <w:left w:val="single" w:color="auto" w:sz="4" w:space="0"/>
              <w:bottom w:val="single" w:color="auto" w:sz="4" w:space="0"/>
              <w:right w:val="single" w:color="auto" w:sz="4" w:space="0"/>
            </w:tcBorders>
            <w:vAlign w:val="center"/>
          </w:tcPr>
          <w:p w14:paraId="4303F551">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063D6175">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5F6366AF">
            <w:pPr>
              <w:spacing w:line="360" w:lineRule="auto"/>
              <w:jc w:val="center"/>
              <w:rPr>
                <w:rFonts w:hint="eastAsia" w:ascii="宋体" w:hAnsi="宋体" w:cs="宋体"/>
                <w:color w:val="auto"/>
                <w:sz w:val="24"/>
                <w:szCs w:val="24"/>
                <w:highlight w:val="none"/>
              </w:rPr>
            </w:pPr>
          </w:p>
        </w:tc>
      </w:tr>
      <w:tr w14:paraId="6F6F9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52F354A7">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6FFFB946">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right w:val="single" w:color="auto" w:sz="4" w:space="0"/>
            </w:tcBorders>
            <w:vAlign w:val="center"/>
          </w:tcPr>
          <w:p w14:paraId="0FDA8E94">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30D3BFC4">
            <w:pPr>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sz w:val="24"/>
                <w:szCs w:val="24"/>
                <w:highlight w:val="none"/>
                <w:lang w:val="en-US" w:eastAsia="zh-CN"/>
              </w:rPr>
              <w:t>3</w:t>
            </w:r>
            <w:r>
              <w:rPr>
                <w:rFonts w:hint="eastAsia" w:asciiTheme="minorEastAsia" w:hAnsiTheme="minorEastAsia" w:eastAsiaTheme="minorEastAsia" w:cstheme="minorEastAsia"/>
                <w:b/>
                <w:bCs/>
                <w:color w:val="auto"/>
                <w:sz w:val="24"/>
                <w:szCs w:val="24"/>
                <w:highlight w:val="none"/>
              </w:rPr>
              <w:t>）公寓椅</w:t>
            </w:r>
          </w:p>
          <w:p w14:paraId="2D667C11">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1.规格</w:t>
            </w:r>
            <w:r>
              <w:rPr>
                <w:rFonts w:hint="eastAsia" w:asciiTheme="minorEastAsia" w:hAnsiTheme="minorEastAsia" w:eastAsiaTheme="minorEastAsia" w:cstheme="minorEastAsia"/>
                <w:color w:val="auto"/>
                <w:kern w:val="0"/>
                <w:sz w:val="24"/>
                <w:szCs w:val="24"/>
                <w:highlight w:val="none"/>
              </w:rPr>
              <w:t>：450*550*780mm（长*深*高，±10mm）</w:t>
            </w:r>
          </w:p>
          <w:p w14:paraId="01DF71F0">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2.材质要求</w:t>
            </w:r>
            <w:r>
              <w:rPr>
                <w:rFonts w:hint="eastAsia" w:asciiTheme="minorEastAsia" w:hAnsiTheme="minorEastAsia" w:eastAsiaTheme="minorEastAsia" w:cstheme="minorEastAsia"/>
                <w:color w:val="auto"/>
                <w:kern w:val="0"/>
                <w:sz w:val="24"/>
                <w:szCs w:val="24"/>
                <w:highlight w:val="none"/>
              </w:rPr>
              <w:t>：使用钢塑组合，椅架部分钢管厚度要求不小于1.2mm厚，焊接处采用满焊工艺，表面打磨光滑，无尖锐棱角，保障使用安全。座板和靠背主要材质为高密度聚乙烯，不可采用回收料，具有抗污性，油污、水渍一擦即净，支持酒精擦拭消毒。椅脚配备防滑脚套，减少移动噪音。</w:t>
            </w:r>
          </w:p>
          <w:p w14:paraId="3CD30CB8">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bCs/>
                <w:color w:val="auto"/>
                <w:kern w:val="0"/>
                <w:sz w:val="24"/>
                <w:szCs w:val="24"/>
                <w:highlight w:val="none"/>
              </w:rPr>
              <w:t>3.公寓椅的部件规格</w:t>
            </w:r>
            <w:r>
              <w:rPr>
                <w:rFonts w:hint="eastAsia" w:asciiTheme="minorEastAsia" w:hAnsiTheme="minorEastAsia" w:eastAsiaTheme="minorEastAsia" w:cstheme="minorEastAsia"/>
                <w:color w:val="auto"/>
                <w:kern w:val="0"/>
                <w:sz w:val="24"/>
                <w:szCs w:val="24"/>
                <w:highlight w:val="none"/>
              </w:rPr>
              <w:t>：</w:t>
            </w:r>
          </w:p>
          <w:p w14:paraId="0A7A2255">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3.1椅架：椅脚和靠背管都采用≥40*20*1.4mm的椭圆钢管，底座中间连接杆采用≥40*20*1.2mm的椭圆钢管。椅架框采用≥30*15*1.4mm的椭圆钢管。</w:t>
            </w:r>
          </w:p>
          <w:p w14:paraId="1AAE2357">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3.2椅面：椅面规格：座板深度450 （±5mm）*座板宽度 415mm（±5mm）。椅面采用中空吹塑工艺一次性成型。表面皮纹处理，符合人体工程学，坐感舒适。材料为HDPE高密度聚乙烯。椅架框和椅面连接方式为椅面内嵌在椅架的U型框内。</w:t>
            </w:r>
          </w:p>
          <w:p w14:paraId="190FD0AB">
            <w:pPr>
              <w:spacing w:line="480" w:lineRule="auto"/>
              <w:jc w:val="left"/>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kern w:val="0"/>
                <w:sz w:val="24"/>
                <w:szCs w:val="24"/>
                <w:highlight w:val="none"/>
              </w:rPr>
              <w:t>3.3椅背：1.椅背靠背部分规格为靠背板宽度455mm（±5mm）*靠背板高度255mm（±5mm）。椅背用中空吹塑工艺一次性成型。表面皮纹处理，弧形结构符合人体工程学。材料为HDPE高密度聚乙烯。椅背上沿向内折边，折边处光滑圆润，没有毛刺。椅背上方具有宽度≥110mm的仿手型拉手口。椅背内插钢管为≥40*20*厚度1.4mm椭圆管。</w:t>
            </w:r>
          </w:p>
          <w:p w14:paraId="78227773">
            <w:pPr>
              <w:spacing w:line="480" w:lineRule="auto"/>
              <w:jc w:val="left"/>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color w:val="auto"/>
                <w:kern w:val="0"/>
                <w:sz w:val="24"/>
                <w:szCs w:val="24"/>
                <w:highlight w:val="none"/>
              </w:rPr>
              <w:t>3.4脚套：采用前脚套、后脚垫设计，采用PP材料一次性注塑成型。</w:t>
            </w:r>
          </w:p>
          <w:p w14:paraId="34EC4367">
            <w:pPr>
              <w:jc w:val="center"/>
              <w:rPr>
                <w:rFonts w:hint="eastAsia" w:asciiTheme="minorEastAsia" w:hAnsiTheme="minorEastAsia" w:eastAsiaTheme="minorEastAsia" w:cstheme="minorEastAsia"/>
                <w:b/>
                <w:bCs/>
                <w:color w:val="auto"/>
                <w:sz w:val="24"/>
                <w:szCs w:val="24"/>
                <w:highlight w:val="none"/>
              </w:rPr>
            </w:pPr>
          </w:p>
          <w:p w14:paraId="609FF797">
            <w:pPr>
              <w:jc w:val="center"/>
              <w:rPr>
                <w:rFonts w:hint="eastAsia" w:asciiTheme="minorEastAsia" w:hAnsiTheme="minorEastAsia" w:eastAsiaTheme="minorEastAsia" w:cstheme="minorEastAsia"/>
                <w:b/>
                <w:bCs/>
                <w:color w:val="auto"/>
                <w:sz w:val="24"/>
                <w:szCs w:val="24"/>
                <w:highlight w:val="none"/>
              </w:rPr>
            </w:pPr>
          </w:p>
          <w:p w14:paraId="637F248E">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公寓椅效果图</w:t>
            </w:r>
          </w:p>
          <w:p w14:paraId="2996F45D">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drawing>
                <wp:anchor distT="0" distB="0" distL="114300" distR="114300" simplePos="0" relativeHeight="251719680" behindDoc="0" locked="0" layoutInCell="1" allowOverlap="1">
                  <wp:simplePos x="0" y="0"/>
                  <wp:positionH relativeFrom="column">
                    <wp:posOffset>1518920</wp:posOffset>
                  </wp:positionH>
                  <wp:positionV relativeFrom="paragraph">
                    <wp:posOffset>76835</wp:posOffset>
                  </wp:positionV>
                  <wp:extent cx="2183765" cy="2954020"/>
                  <wp:effectExtent l="0" t="0" r="635" b="5080"/>
                  <wp:wrapTopAndBottom/>
                  <wp:docPr id="2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5"/>
                          <pic:cNvPicPr>
                            <a:picLocks noChangeAspect="1"/>
                          </pic:cNvPicPr>
                        </pic:nvPicPr>
                        <pic:blipFill>
                          <a:blip r:embed="rId38"/>
                          <a:stretch>
                            <a:fillRect/>
                          </a:stretch>
                        </pic:blipFill>
                        <pic:spPr>
                          <a:xfrm>
                            <a:off x="0" y="0"/>
                            <a:ext cx="2183765" cy="2954020"/>
                          </a:xfrm>
                          <a:prstGeom prst="rect">
                            <a:avLst/>
                          </a:prstGeom>
                          <a:noFill/>
                          <a:ln>
                            <a:noFill/>
                          </a:ln>
                        </pic:spPr>
                      </pic:pic>
                    </a:graphicData>
                  </a:graphic>
                </wp:anchor>
              </w:drawing>
            </w:r>
          </w:p>
          <w:p w14:paraId="038C2406">
            <w:pPr>
              <w:rPr>
                <w:rFonts w:hint="eastAsia" w:asciiTheme="minorEastAsia" w:hAnsiTheme="minorEastAsia" w:eastAsiaTheme="minorEastAsia" w:cstheme="minorEastAsia"/>
                <w:color w:val="auto"/>
                <w:sz w:val="24"/>
                <w:szCs w:val="24"/>
                <w:highlight w:val="none"/>
              </w:rPr>
            </w:pPr>
          </w:p>
          <w:p w14:paraId="019BA855">
            <w:pPr>
              <w:rPr>
                <w:rFonts w:hint="eastAsia" w:asciiTheme="minorEastAsia" w:hAnsiTheme="minorEastAsia" w:eastAsiaTheme="minorEastAsia" w:cstheme="minorEastAsia"/>
                <w:color w:val="auto"/>
                <w:sz w:val="24"/>
                <w:szCs w:val="24"/>
                <w:highlight w:val="none"/>
              </w:rPr>
            </w:pPr>
          </w:p>
          <w:p w14:paraId="61C96DD1">
            <w:pPr>
              <w:rPr>
                <w:rFonts w:hint="eastAsia" w:asciiTheme="minorEastAsia" w:hAnsiTheme="minorEastAsia" w:eastAsiaTheme="minorEastAsia" w:cstheme="minorEastAsia"/>
                <w:color w:val="auto"/>
                <w:sz w:val="24"/>
                <w:szCs w:val="24"/>
                <w:highlight w:val="none"/>
              </w:rPr>
            </w:pPr>
          </w:p>
          <w:p w14:paraId="03569ABA">
            <w:pPr>
              <w:rPr>
                <w:rFonts w:hint="eastAsia" w:asciiTheme="minorEastAsia" w:hAnsiTheme="minorEastAsia" w:eastAsiaTheme="minorEastAsia" w:cstheme="minorEastAsia"/>
                <w:color w:val="auto"/>
                <w:sz w:val="24"/>
                <w:szCs w:val="24"/>
                <w:highlight w:val="none"/>
              </w:rPr>
            </w:pPr>
          </w:p>
          <w:p w14:paraId="35063131">
            <w:pPr>
              <w:spacing w:line="360" w:lineRule="auto"/>
              <w:rPr>
                <w:rFonts w:hint="eastAsia" w:asciiTheme="minorEastAsia" w:hAnsiTheme="minorEastAsia" w:eastAsiaTheme="minorEastAsia" w:cstheme="minorEastAsia"/>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71948D5D">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589AE91A">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9838E2D">
            <w:pPr>
              <w:spacing w:line="360" w:lineRule="auto"/>
              <w:jc w:val="center"/>
              <w:rPr>
                <w:rFonts w:hint="eastAsia" w:ascii="宋体" w:hAnsi="宋体" w:cs="宋体"/>
                <w:color w:val="auto"/>
                <w:sz w:val="24"/>
                <w:szCs w:val="24"/>
                <w:highlight w:val="none"/>
              </w:rPr>
            </w:pPr>
          </w:p>
        </w:tc>
      </w:tr>
      <w:tr w14:paraId="09608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42C32806">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22731E8A">
            <w:pPr>
              <w:spacing w:line="360" w:lineRule="auto"/>
              <w:jc w:val="center"/>
              <w:rPr>
                <w:rFonts w:hint="eastAsia" w:ascii="宋体" w:hAnsi="宋体" w:cs="宋体"/>
                <w:color w:val="auto"/>
                <w:sz w:val="24"/>
                <w:szCs w:val="24"/>
                <w:highlight w:val="none"/>
              </w:rPr>
            </w:pPr>
          </w:p>
        </w:tc>
        <w:tc>
          <w:tcPr>
            <w:tcW w:w="709" w:type="dxa"/>
            <w:vMerge w:val="continue"/>
            <w:tcBorders>
              <w:left w:val="single" w:color="auto" w:sz="4" w:space="0"/>
              <w:bottom w:val="single" w:color="auto" w:sz="4" w:space="0"/>
              <w:right w:val="single" w:color="auto" w:sz="4" w:space="0"/>
            </w:tcBorders>
            <w:vAlign w:val="center"/>
          </w:tcPr>
          <w:p w14:paraId="107E8FC6">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467526FB">
            <w:pP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rPr>
              <w:t>（</w:t>
            </w:r>
            <w:r>
              <w:rPr>
                <w:rFonts w:hint="eastAsia" w:asciiTheme="minorEastAsia" w:hAnsiTheme="minorEastAsia" w:eastAsiaTheme="minorEastAsia" w:cstheme="minorEastAsia"/>
                <w:b/>
                <w:bCs/>
                <w:color w:val="auto"/>
                <w:sz w:val="24"/>
                <w:szCs w:val="24"/>
                <w:highlight w:val="none"/>
                <w:lang w:val="en-US" w:eastAsia="zh-CN"/>
              </w:rPr>
              <w:t>五</w:t>
            </w:r>
            <w:r>
              <w:rPr>
                <w:rFonts w:hint="eastAsia" w:asciiTheme="minorEastAsia" w:hAnsiTheme="minorEastAsia" w:eastAsiaTheme="minorEastAsia" w:cstheme="minorEastAsia"/>
                <w:b/>
                <w:bCs/>
                <w:color w:val="auto"/>
                <w:sz w:val="24"/>
                <w:szCs w:val="24"/>
                <w:highlight w:val="none"/>
              </w:rPr>
              <w:t>）其它要求</w:t>
            </w:r>
          </w:p>
          <w:p w14:paraId="0D3E255B">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投标人所投“组合式公寓床(含铁床、书桌、衣柜)”,提供由第三方检测机构出具的抽样检验检测报告，检测项目内容至少包含以下项目:①主要尺寸及偏差，形状和位置公差，外观性能：金属件-管材、电镀件、焊接件、冲压件、喷漆（塑）涂层、合金件等其他金属件检验结果均符合要求；②理化性能：金属喷漆（塑）涂层-硬度、冲击强度、耐盐浴100h、附着力达到0级；③力学性能：床类、扶梯、安全栏、桌类稳定性、柜架类稳定性，品质属性：产品寿命-桌类桌面水平耐久性、床类床结构耐久性、柜类拉门耐久性；④燃烧性能；⑤产品有害物质（甲醛释放量（气候箱法）≦0.05mg/m³，苯、甲苯、二甲苯、总挥发性有机化合物TVOC）检验为合格，家具涂层可迁移元素（铅、镉、铬、汞、锑、钡、硒、砷）检验为合格，家具中其他有害物质限量：邻苯二甲酸酯、多环芳烃未检出；⑥安全性能：结构安全。</w:t>
            </w:r>
          </w:p>
          <w:p w14:paraId="3E074DDC">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4401CB1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投标人所投货物所使用的“杉木床铺板”,提供由第三方检测机构出具的抽样检验检测报告，检测项目内容至少包含以下项目:①外观要求：木材-贯通裂缝、虫蛀、腐朽材、树脂囊、节子、死节、孔洞、夹皮和树脂道、树胶道、其他轻微材质缺陷检验结果均符合要求，木工要求（板件或部件在接触人体或贮物部位不应有毛刺、刃口或棱角；板件或部件的外表应光滑，倒棱、圆角、圆线应均匀一致）检验结果符合要求； ②甲醛释放量（1m³气候箱法）未检出，家具涂层可迁移元素（铅、汞、铬、镉、锑、钡、硒、砷），苯，甲苯，二甲苯，总挥发性有机化合物（TVOC),五氯苯酚检验结果都为合格；③木材含水率≤9%。</w:t>
            </w:r>
          </w:p>
          <w:p w14:paraId="0A60C5E2">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6802DD3B">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投标人所投货物所使用的“公寓椅”,提供由第三方检测机构出具的抽样检验检测报告，检测项目内容至少包含以下项目:①形状和位置公差：底脚着地平稳性≤1mm，外观性能：金属件外观性能-管材、焊接件、喷漆（塑）涂层，安全性能：结构安全； ②理化性能：金属喷漆（塑）涂层-硬度、冲击强度、耐盐浴100h、附着力； ③力学性能：椅凳类强度和耐久性，④耐腐蚀试验：中性盐雾试验（NSS）法18h涂层本身的耐腐蚀等级达到10级、中性盐雾试验（NSS）法18h涂层对基体的保护等级达到10级；⑤燃烧性能符合GB 8624-2012要求检验为合格；⑥产品有害物质：甲醛释放量（气候箱法）未检出，产品有害物质（苯，甲苯，二甲苯，总挥发性有机化合物（TVOC）)检验为合格，家具涂层可迁移元素（铅、镉、铬、汞、锑、钡、硒、砷）检验为合格，家具中其他有害物质限量：邻苯二甲酸酯未检出。</w:t>
            </w:r>
          </w:p>
          <w:p w14:paraId="750E899E">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15D47E7E">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投标人所投货物所使用的部件及原辅料“塑粉”,提供由第三方检测机构出具的抽样检验检测报告，检测项目内容至少包含以下项目:①抗霉菌性能；②抗细菌性能；③附着力达到0级，耐酸性3%盐酸溶液240h无异常，耐碱性，耐盐雾性（中性盐雾：大于等于300h划痕处单向腐蚀蔓延宽度小于2.0mm，未划痕区无起泡、生锈、开裂、剥落等异常现象），耐人工气候老化性；④流动性；⑤铅笔硬度≥3H；</w:t>
            </w:r>
          </w:p>
          <w:p w14:paraId="40389C9E">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7852C705">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投标人所投货物所使用的部件及原辅料“封边条”,提供由第三方检测机构出具的抽样检验检测报告，检测项目内容至少包含以下项目:①抗菌性能：抗菌活性值大肠杆菌≥2，抗菌率大肠杆菌≥99%；②防霉性能：防霉等级-出芽短梗霉达到0级；③理化性能：耐干热性、耐磨性、耐开裂性、耐老化性、耐冷热循环性；④有害物质限量：甲醛释放量，氯乙烯单体，可迁移元素：可溶性重金属-铅、镉、铬、汞、砷、钡、锑、硒检验结果均为未检出；</w:t>
            </w:r>
          </w:p>
          <w:p w14:paraId="6A3057DD">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79F38F03">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投标人所投货物所使用的部件及原辅料“钢管”,提供由第三方检测机构出具的抽样检验检测报告，检测项目内容至少包含以下项目:①中性盐雾试验（NSS）法连续喷雾18h：涂层本身的耐腐蚀等级≥10级、涂层对基体的保护等级≥10级；②外观性能：金属件-喷漆（塑）涂层（应无漏喷、锈蚀、脱色、掉色等，应光滑均匀，色泽一致，应无流挂、疙瘩、皱皮、飞漆等）；③产品表面理化性能：金属喷漆（塑）涂层-硬度、冲击强度（冲击高度400mm，应无剥落、裂纹、皱纹）、附着力达到1级、耐盐浴（试验时间100h）；④拉伸性能：抗拉强度≥420MPa，断后伸长率≥32%；⑤力学性能：规定塑性延伸强度≥265MPa；</w:t>
            </w:r>
          </w:p>
          <w:p w14:paraId="4C4F0368">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7185E004">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7、投标人所投货物所使用的部件及原辅料“导轨（三节导轨）”,提供由第三方检测机构出具的抽样检验检测报告，检测项目内容至少包含以下项目:①外观性能：金属件-冲压件应无脱层、裂缝；②表面理化性能：金属喷漆（塑）涂层-冲击强度；③过载：猛关或猛开；④耐腐蚀；⑤功能：耐久性、垂直向下静载荷、水平侧向静载荷、拉出安全性、下沉量；</w:t>
            </w:r>
          </w:p>
          <w:p w14:paraId="02683D91">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587E2E3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8、投标人所投货物所使用的部件及原辅料“塑料部件（PP塑料）”,提供由第三方检测机构出具的抽样检验检测报告，检测项目内容至少包含以下项目:①抗菌性能：金黄色葡萄球菌抑菌率≥97%；②防霉性能：黄曲霉防霉等级达到0级；</w:t>
            </w:r>
          </w:p>
          <w:p w14:paraId="45A01A5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50C9FE2D">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9、投标人所投货物所使用的部件及原辅料“中密度纤维板”,提供由第三方检测机构出具的抽样检验检测报告，检测项目内容至少包含以下项目:①甲醛释放量（气候箱法）≦0.05mg/m³； ②抗菌性能：金黄色葡萄球菌、大肠埃希氏菌、表皮葡萄球菌、白色念珠菌、变化考克氏菌的抑菌率≥99%； ③外观质量；④表面吸收性能；⑤燃烧性能。</w:t>
            </w:r>
          </w:p>
          <w:p w14:paraId="09E524A5">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64FEE8DE">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10、投标人所投货物所使用的部件及原辅料“三合一偏心连接件”,提供由第三方检测机构出具的抽样检验检测报告，检测项目内容至少包含以下项目:①耐腐蚀：乙酸盐雾试验（ASS）法-连续喷雾120h耐腐蚀等级达到10级；②外观：金属件表面应无锈蚀、毛刺刃口、露底，应光滑平整，应无起泡、泛黄、花斑、烧焦、裂纹、划痕、磕碰伤等缺陷，检验结果符合要求；③外观性能：金属件-电镀件；④力学性能：三合一偏心连接件偏心体抗压强度≥335N，三合一偏心连接件预埋螺母抗拉强度≥700N，三合一偏心连接件中连接螺杆螺纹与预埋螺母的抗拉强度≥800N。</w:t>
            </w:r>
          </w:p>
          <w:p w14:paraId="41AD2F61">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0012C5DC">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11、投标人所投货物所使用的部件及原辅料“床梯踏板”,提供由第三方检测机构出具的抽样检验检测报告，检测项目内容至少包含以下项目:①外观性能：金属件-冲压件、喷漆（塑）涂层、管材、焊接件，以上检验结果均符合要求；②表面理化性能：金属喷漆（塑）涂层-硬度、冲击强度、耐盐浴、附着力。</w:t>
            </w:r>
          </w:p>
          <w:p w14:paraId="29C378B3">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25EE03F6">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12、投标人所投货物所使用的部件及原辅料“热熔胶”,提供由第三方检测机构出具的抽样检验检测报告，检测项目内容至少包含以下项目:①本体型胶粘剂有害物质限量值：总挥发性有机物≤5g/L。</w:t>
            </w:r>
          </w:p>
          <w:p w14:paraId="5794692F">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注：需提供第三方检测机构出具的检测（检验）报告</w:t>
            </w:r>
            <w:r>
              <w:rPr>
                <w:rFonts w:hint="eastAsia" w:asciiTheme="minorEastAsia" w:hAnsiTheme="minorEastAsia" w:eastAsiaTheme="minorEastAsia" w:cstheme="minorEastAsia"/>
                <w:color w:val="auto"/>
                <w:sz w:val="24"/>
                <w:szCs w:val="24"/>
                <w:highlight w:val="none"/>
                <w:lang w:eastAsia="zh-CN"/>
              </w:rPr>
              <w:t>复印件（含扫描件）</w:t>
            </w:r>
            <w:r>
              <w:rPr>
                <w:rFonts w:hint="eastAsia" w:asciiTheme="minorEastAsia" w:hAnsiTheme="minorEastAsia" w:eastAsiaTheme="minorEastAsia" w:cstheme="minorEastAsia"/>
                <w:color w:val="auto"/>
                <w:sz w:val="24"/>
                <w:szCs w:val="24"/>
                <w:highlight w:val="none"/>
              </w:rPr>
              <w:t>（报告须具有检测机构资质标识（CMA或CNAS）并盖有检测专用章，否则不予认可），检测报告需附有真伪查询官网网址或真伪查询二维码。检验报告中受检（或委托）单位应与投标人或产品制造商一致。</w:t>
            </w:r>
          </w:p>
          <w:p w14:paraId="5CD11AEA">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13、投标人具有：冷弯成型机、剪板机、粉体喷涂（喷塑）生产线、焊接机器人设备、液压折弯机、全自动数控板材开料锯、左式或右式直线封边机、6排钻机、数控钻孔中心、加工中心。</w:t>
            </w:r>
          </w:p>
          <w:p w14:paraId="40972335">
            <w:pPr>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14</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生产过程对接：在生产过程中，定期向学校提交生产进度报告，包括生产数量、质量检验结果、原材料使用情况等；学校对生产过程进行初期、中期及终期全过程监督管理，可随时抽查产品质量和生产工艺。</w:t>
            </w:r>
          </w:p>
          <w:p w14:paraId="548D9587">
            <w:pPr>
              <w:tabs>
                <w:tab w:val="left" w:pos="5130"/>
              </w:tabs>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15</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安全环保标准：甲醛释放量应符合E0级标准（≤0.05mg/㎥），所有材料应符合国家环保标准。生产厂家需提供检测报告，包括原材料检测报告、成品检测报告、环保检测报告等。</w:t>
            </w:r>
          </w:p>
          <w:p w14:paraId="316D4A0A">
            <w:pPr>
              <w:tabs>
                <w:tab w:val="left" w:pos="5130"/>
              </w:tabs>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16、</w:t>
            </w:r>
            <w:r>
              <w:rPr>
                <w:rFonts w:hint="eastAsia" w:asciiTheme="minorEastAsia" w:hAnsiTheme="minorEastAsia" w:eastAsiaTheme="minorEastAsia" w:cstheme="minorEastAsia"/>
                <w:color w:val="auto"/>
                <w:sz w:val="24"/>
                <w:szCs w:val="24"/>
                <w:highlight w:val="none"/>
              </w:rPr>
              <w:t>六间无障碍间的家具：由中标供应商从学校仓库运输及安装至六期学生公寓的无障碍间。</w:t>
            </w:r>
          </w:p>
          <w:p w14:paraId="28E8DC74">
            <w:pPr>
              <w:tabs>
                <w:tab w:val="left" w:pos="5130"/>
              </w:tabs>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17、</w:t>
            </w:r>
            <w:r>
              <w:rPr>
                <w:rFonts w:hint="eastAsia" w:asciiTheme="minorEastAsia" w:hAnsiTheme="minorEastAsia" w:eastAsiaTheme="minorEastAsia" w:cstheme="minorEastAsia"/>
                <w:color w:val="auto"/>
                <w:sz w:val="24"/>
                <w:szCs w:val="24"/>
                <w:highlight w:val="none"/>
              </w:rPr>
              <w:t>所投产品的颜色由</w:t>
            </w:r>
            <w:r>
              <w:rPr>
                <w:rFonts w:hint="default" w:asciiTheme="minorEastAsia" w:hAnsiTheme="minorEastAsia" w:eastAsiaTheme="minorEastAsia" w:cstheme="minorEastAsia"/>
                <w:color w:val="auto"/>
                <w:sz w:val="24"/>
                <w:szCs w:val="24"/>
                <w:highlight w:val="none"/>
              </w:rPr>
              <w:t>使用单位</w:t>
            </w:r>
            <w:r>
              <w:rPr>
                <w:rFonts w:hint="eastAsia" w:asciiTheme="minorEastAsia" w:hAnsiTheme="minorEastAsia" w:eastAsiaTheme="minorEastAsia" w:cstheme="minorEastAsia"/>
                <w:color w:val="auto"/>
                <w:sz w:val="24"/>
                <w:szCs w:val="24"/>
                <w:highlight w:val="none"/>
              </w:rPr>
              <w:t>以书面形式确认为准，供应商须按</w:t>
            </w:r>
            <w:r>
              <w:rPr>
                <w:rFonts w:hint="default" w:asciiTheme="minorEastAsia" w:hAnsiTheme="minorEastAsia" w:eastAsiaTheme="minorEastAsia" w:cstheme="minorEastAsia"/>
                <w:color w:val="auto"/>
                <w:sz w:val="24"/>
                <w:szCs w:val="24"/>
                <w:highlight w:val="none"/>
              </w:rPr>
              <w:t>使用单位</w:t>
            </w:r>
            <w:r>
              <w:rPr>
                <w:rFonts w:hint="eastAsia" w:asciiTheme="minorEastAsia" w:hAnsiTheme="minorEastAsia" w:eastAsiaTheme="minorEastAsia" w:cstheme="minorEastAsia"/>
                <w:color w:val="auto"/>
                <w:sz w:val="24"/>
                <w:szCs w:val="24"/>
                <w:highlight w:val="none"/>
              </w:rPr>
              <w:t>确认的颜色组织生产和供货，相关费用已包含在投标报价中，不再另行调整。</w:t>
            </w:r>
          </w:p>
          <w:p w14:paraId="59B06EF4">
            <w:pPr>
              <w:tabs>
                <w:tab w:val="left" w:pos="5130"/>
              </w:tabs>
              <w:ind w:firstLine="480" w:firstLineChars="200"/>
              <w:rPr>
                <w:rFonts w:hint="eastAsia" w:asciiTheme="minorEastAsia" w:hAnsiTheme="minorEastAsia" w:eastAsiaTheme="minorEastAsia" w:cstheme="minorEastAsia"/>
                <w:color w:val="auto"/>
                <w:sz w:val="24"/>
                <w:szCs w:val="24"/>
                <w:highlight w:val="none"/>
              </w:rPr>
            </w:pPr>
          </w:p>
          <w:p w14:paraId="73D08CFD">
            <w:pP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备注：“</w:t>
            </w:r>
            <w:r>
              <w:rPr>
                <w:rFonts w:hint="eastAsia" w:asciiTheme="minorEastAsia" w:hAnsiTheme="minorEastAsia" w:eastAsiaTheme="minorEastAsia" w:cstheme="minorEastAsia"/>
                <w:b/>
                <w:color w:val="auto"/>
                <w:sz w:val="24"/>
                <w:szCs w:val="24"/>
                <w:highlight w:val="none"/>
              </w:rPr>
              <w:t>一、项目概况及技术要求</w:t>
            </w:r>
            <w:r>
              <w:rPr>
                <w:rFonts w:hint="eastAsia" w:asciiTheme="minorEastAsia" w:hAnsiTheme="minorEastAsia" w:eastAsiaTheme="minorEastAsia" w:cstheme="minorEastAsia"/>
                <w:b/>
                <w:bCs/>
                <w:color w:val="auto"/>
                <w:sz w:val="24"/>
                <w:szCs w:val="24"/>
                <w:highlight w:val="none"/>
              </w:rPr>
              <w:t>”中所描述产品的规格尺寸，没有幅度要求的，允许正负偏离0.5%以内。</w:t>
            </w:r>
          </w:p>
          <w:p w14:paraId="132E063C">
            <w:pPr>
              <w:rPr>
                <w:color w:val="auto"/>
                <w:highlight w:val="none"/>
              </w:rPr>
            </w:pPr>
          </w:p>
          <w:p w14:paraId="3D51431C">
            <w:pPr>
              <w:rPr>
                <w:color w:val="auto"/>
                <w:highlight w:val="none"/>
              </w:rPr>
            </w:pPr>
          </w:p>
          <w:p w14:paraId="4AFC48BD">
            <w:pPr>
              <w:rPr>
                <w:color w:val="auto"/>
                <w:highlight w:val="none"/>
              </w:rPr>
            </w:pPr>
          </w:p>
          <w:p w14:paraId="7E32C9C0">
            <w:pPr>
              <w:rPr>
                <w:color w:val="auto"/>
                <w:highlight w:val="none"/>
              </w:rPr>
            </w:pPr>
          </w:p>
          <w:p w14:paraId="0A5FE03D">
            <w:pPr>
              <w:rPr>
                <w:color w:val="auto"/>
                <w:highlight w:val="none"/>
              </w:rPr>
            </w:pPr>
          </w:p>
          <w:p w14:paraId="5932FDAB">
            <w:pPr>
              <w:rPr>
                <w:color w:val="auto"/>
                <w:highlight w:val="none"/>
              </w:rPr>
            </w:pPr>
          </w:p>
          <w:p w14:paraId="59CDE181">
            <w:pPr>
              <w:spacing w:line="360" w:lineRule="auto"/>
              <w:rPr>
                <w:rFonts w:hint="eastAsia" w:asciiTheme="minorEastAsia" w:hAnsiTheme="minorEastAsia" w:eastAsiaTheme="minorEastAsia" w:cstheme="minorEastAsia"/>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57FDB6B5">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5EE6B3CD">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A87F532">
            <w:pPr>
              <w:spacing w:line="360" w:lineRule="auto"/>
              <w:jc w:val="center"/>
              <w:rPr>
                <w:rFonts w:hint="eastAsia" w:ascii="宋体" w:hAnsi="宋体" w:cs="宋体"/>
                <w:color w:val="auto"/>
                <w:sz w:val="24"/>
                <w:szCs w:val="24"/>
                <w:highlight w:val="none"/>
              </w:rPr>
            </w:pPr>
          </w:p>
        </w:tc>
      </w:tr>
      <w:tr w14:paraId="067A8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F0B1F62">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67193292">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5E0880F5">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76739BF5">
            <w:pPr>
              <w:widowControl/>
              <w:spacing w:line="360" w:lineRule="auto"/>
              <w:ind w:firstLine="471"/>
              <w:jc w:val="left"/>
              <w:rPr>
                <w:rFonts w:hint="eastAsia" w:ascii="宋体" w:hAnsi="宋体"/>
                <w:b/>
                <w:color w:val="auto"/>
                <w:sz w:val="24"/>
                <w:szCs w:val="24"/>
                <w:highlight w:val="none"/>
              </w:rPr>
            </w:pPr>
            <w:r>
              <w:rPr>
                <w:rFonts w:ascii="宋体" w:hAnsi="宋体"/>
                <w:b/>
                <w:color w:val="auto"/>
                <w:sz w:val="24"/>
                <w:szCs w:val="24"/>
                <w:highlight w:val="none"/>
              </w:rPr>
              <w:t>二、</w:t>
            </w:r>
            <w:r>
              <w:rPr>
                <w:rFonts w:hint="eastAsia" w:ascii="宋体" w:hAnsi="宋体"/>
                <w:b/>
                <w:color w:val="auto"/>
                <w:sz w:val="24"/>
                <w:szCs w:val="24"/>
                <w:highlight w:val="none"/>
              </w:rPr>
              <w:t>采购要求</w:t>
            </w:r>
          </w:p>
          <w:p w14:paraId="33E31D4D">
            <w:pPr>
              <w:widowControl/>
              <w:spacing w:line="360" w:lineRule="auto"/>
              <w:ind w:firstLine="471"/>
              <w:jc w:val="left"/>
              <w:rPr>
                <w:rFonts w:hint="eastAsia" w:ascii="宋体" w:hAnsi="宋体"/>
                <w:bCs/>
                <w:color w:val="auto"/>
                <w:sz w:val="24"/>
                <w:szCs w:val="24"/>
                <w:highlight w:val="none"/>
              </w:rPr>
            </w:pPr>
            <w:r>
              <w:rPr>
                <w:rFonts w:hint="eastAsia" w:ascii="宋体" w:hAnsi="宋体"/>
                <w:bCs/>
                <w:color w:val="auto"/>
                <w:sz w:val="24"/>
                <w:szCs w:val="24"/>
                <w:highlight w:val="none"/>
              </w:rPr>
              <w:t>1．中标供应商生产前提供具体图纸供使用单位确认方可生产，价格不得调整。</w:t>
            </w:r>
          </w:p>
          <w:p w14:paraId="4E2529EA">
            <w:pPr>
              <w:widowControl/>
              <w:spacing w:line="360" w:lineRule="auto"/>
              <w:ind w:firstLine="471"/>
              <w:jc w:val="left"/>
              <w:rPr>
                <w:rFonts w:hint="eastAsia" w:ascii="宋体" w:hAnsi="宋体"/>
                <w:bCs/>
                <w:color w:val="auto"/>
                <w:sz w:val="24"/>
                <w:szCs w:val="24"/>
                <w:highlight w:val="none"/>
              </w:rPr>
            </w:pPr>
            <w:r>
              <w:rPr>
                <w:rFonts w:hint="eastAsia" w:ascii="宋体" w:hAnsi="宋体"/>
                <w:bCs/>
                <w:color w:val="auto"/>
                <w:sz w:val="24"/>
                <w:szCs w:val="24"/>
                <w:highlight w:val="none"/>
              </w:rPr>
              <w:t>2．投标人应严格按照招标文件的规格、数量、技术及材质等要求进行报价。</w:t>
            </w:r>
          </w:p>
          <w:p w14:paraId="46430ACF">
            <w:pPr>
              <w:widowControl/>
              <w:spacing w:line="360" w:lineRule="auto"/>
              <w:ind w:firstLine="471"/>
              <w:jc w:val="left"/>
              <w:rPr>
                <w:rFonts w:hint="eastAsia" w:ascii="宋体" w:hAnsi="宋体"/>
                <w:bCs/>
                <w:color w:val="auto"/>
                <w:sz w:val="24"/>
                <w:szCs w:val="24"/>
                <w:highlight w:val="none"/>
              </w:rPr>
            </w:pPr>
            <w:r>
              <w:rPr>
                <w:rFonts w:hint="eastAsia" w:ascii="宋体" w:hAnsi="宋体"/>
                <w:bCs/>
                <w:color w:val="auto"/>
                <w:sz w:val="24"/>
                <w:szCs w:val="24"/>
                <w:highlight w:val="none"/>
              </w:rPr>
              <w:t>3．投标人应在投标文件中提供主要生产设备清单（需提供主要生产加工设备、产地、数量、价值）。</w:t>
            </w:r>
          </w:p>
          <w:p w14:paraId="79BC46CC">
            <w:pPr>
              <w:widowControl/>
              <w:spacing w:line="360" w:lineRule="auto"/>
              <w:ind w:firstLine="471"/>
              <w:jc w:val="left"/>
              <w:rPr>
                <w:rFonts w:hint="eastAsia" w:ascii="宋体" w:hAnsi="宋体"/>
                <w:color w:val="auto"/>
                <w:sz w:val="24"/>
                <w:szCs w:val="24"/>
                <w:highlight w:val="none"/>
              </w:rPr>
            </w:pPr>
            <w:r>
              <w:rPr>
                <w:rFonts w:hint="eastAsia" w:ascii="宋体" w:hAnsi="宋体"/>
                <w:color w:val="auto"/>
                <w:sz w:val="24"/>
                <w:szCs w:val="24"/>
                <w:highlight w:val="none"/>
              </w:rPr>
              <w:t>4．投标人应在投标文件中提供质量管理、技术力量说明（主要生产技术骨干、质管人员的数量和职称）。</w:t>
            </w:r>
          </w:p>
          <w:p w14:paraId="7C61B80B">
            <w:pPr>
              <w:ind w:firstLine="471"/>
              <w:rPr>
                <w:color w:val="auto"/>
                <w:highlight w:val="none"/>
              </w:rPr>
            </w:pPr>
            <w:r>
              <w:rPr>
                <w:rFonts w:hint="eastAsia"/>
                <w:color w:val="auto"/>
                <w:highlight w:val="none"/>
                <w:lang w:bidi="ar"/>
              </w:rPr>
              <w:t>5．投标人应根据国家标准《人造板及其制品中甲醛释放限量》、《木家具通用技术条件》、《金属家具通用技术条件》、《民用建筑工程室内环境污染控制标准》、《绿色产品评价家具标准》、《通用软质聚醚型聚氨酯泡沫塑料》《家具中有害物质限量》、《家具结构安全技术规范》、《室内装饰装修材料 人造板及其制品中甲醛释放限量》其他国家及行业标准制作（上述标准若有更新，则以更新后的国家和部门标准执行），并在设计方案中详细说明家具的材料构成及辅材、配件(如材质、质量标准、厚度、产地、品牌、型号等)。</w:t>
            </w:r>
          </w:p>
          <w:p w14:paraId="7741729F">
            <w:pPr>
              <w:widowControl/>
              <w:spacing w:line="360" w:lineRule="auto"/>
              <w:ind w:firstLine="471"/>
              <w:jc w:val="left"/>
              <w:rPr>
                <w:rFonts w:hint="eastAsia" w:ascii="宋体" w:hAnsi="宋体"/>
                <w:color w:val="auto"/>
                <w:sz w:val="24"/>
                <w:szCs w:val="24"/>
                <w:highlight w:val="none"/>
              </w:rPr>
            </w:pPr>
            <w:r>
              <w:rPr>
                <w:rFonts w:hint="eastAsia" w:ascii="宋体" w:hAnsi="宋体"/>
                <w:color w:val="auto"/>
                <w:sz w:val="24"/>
                <w:szCs w:val="24"/>
                <w:highlight w:val="none"/>
              </w:rPr>
              <w:t>6．投标人需在投标文件中提供上述货物的效果图、生产分解图、货物选用材料的说明文件。</w:t>
            </w:r>
          </w:p>
          <w:p w14:paraId="49A908C6">
            <w:pPr>
              <w:widowControl/>
              <w:spacing w:line="360" w:lineRule="auto"/>
              <w:ind w:firstLine="471"/>
              <w:jc w:val="left"/>
              <w:rPr>
                <w:rFonts w:hint="eastAsia" w:ascii="宋体" w:hAnsi="宋体"/>
                <w:color w:val="auto"/>
                <w:sz w:val="24"/>
                <w:szCs w:val="24"/>
                <w:highlight w:val="none"/>
              </w:rPr>
            </w:pPr>
            <w:r>
              <w:rPr>
                <w:rFonts w:hint="eastAsia" w:ascii="宋体" w:hAnsi="宋体"/>
                <w:color w:val="auto"/>
                <w:sz w:val="24"/>
                <w:szCs w:val="24"/>
                <w:highlight w:val="none"/>
              </w:rPr>
              <w:t>7．投标人需将以上货物的参考指标与所投货物的技术指标、参数，在投标文件中分别列出，一一对应。</w:t>
            </w:r>
          </w:p>
          <w:p w14:paraId="2A30D3EA">
            <w:pPr>
              <w:spacing w:line="360" w:lineRule="auto"/>
              <w:ind w:firstLine="482"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8、样品要求</w:t>
            </w:r>
          </w:p>
          <w:p w14:paraId="47093B54">
            <w:pPr>
              <w:ind w:firstLine="480"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8.1、投标人在递交投标文件时应提供以下样品（详见：8.2样品清单）。投标人提供的样品须为全新的产品，禁止使用废旧产品及3D打印、NC加工产品。</w:t>
            </w:r>
          </w:p>
          <w:p w14:paraId="340D8BA5">
            <w:pPr>
              <w:ind w:firstLine="482"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8.2、样品清单</w:t>
            </w:r>
          </w:p>
          <w:tbl>
            <w:tblPr>
              <w:tblStyle w:val="14"/>
              <w:tblpPr w:leftFromText="180" w:rightFromText="180" w:vertAnchor="text" w:horzAnchor="page" w:tblpX="1013" w:tblpY="306"/>
              <w:tblOverlap w:val="never"/>
              <w:tblW w:w="102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119"/>
              <w:gridCol w:w="5216"/>
              <w:gridCol w:w="2111"/>
              <w:gridCol w:w="1165"/>
            </w:tblGrid>
            <w:tr w14:paraId="1F717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0" w:hRule="atLeast"/>
              </w:trPr>
              <w:tc>
                <w:tcPr>
                  <w:tcW w:w="682" w:type="dxa"/>
                  <w:vAlign w:val="center"/>
                </w:tcPr>
                <w:p w14:paraId="7274AC56">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序号</w:t>
                  </w:r>
                </w:p>
              </w:tc>
              <w:tc>
                <w:tcPr>
                  <w:tcW w:w="1119" w:type="dxa"/>
                  <w:vAlign w:val="center"/>
                </w:tcPr>
                <w:p w14:paraId="6904CDC9">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样品名称</w:t>
                  </w:r>
                </w:p>
              </w:tc>
              <w:tc>
                <w:tcPr>
                  <w:tcW w:w="5216" w:type="dxa"/>
                  <w:vAlign w:val="center"/>
                </w:tcPr>
                <w:p w14:paraId="3DAE60B1">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样品制作要求</w:t>
                  </w:r>
                </w:p>
              </w:tc>
              <w:tc>
                <w:tcPr>
                  <w:tcW w:w="2111" w:type="dxa"/>
                  <w:vAlign w:val="center"/>
                </w:tcPr>
                <w:p w14:paraId="5DC34115">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规格尺寸</w:t>
                  </w:r>
                </w:p>
              </w:tc>
              <w:tc>
                <w:tcPr>
                  <w:tcW w:w="1165" w:type="dxa"/>
                  <w:vAlign w:val="center"/>
                </w:tcPr>
                <w:p w14:paraId="77F34526">
                  <w:pPr>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数量</w:t>
                  </w:r>
                </w:p>
              </w:tc>
            </w:tr>
            <w:tr w14:paraId="551D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3B26D2B7">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3</w:t>
                  </w:r>
                </w:p>
              </w:tc>
              <w:tc>
                <w:tcPr>
                  <w:tcW w:w="1119" w:type="dxa"/>
                  <w:vAlign w:val="center"/>
                </w:tcPr>
                <w:p w14:paraId="3ADF8E6E">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边档头中空吹塑板</w:t>
                  </w:r>
                </w:p>
              </w:tc>
              <w:tc>
                <w:tcPr>
                  <w:tcW w:w="5216" w:type="dxa"/>
                  <w:vAlign w:val="center"/>
                </w:tcPr>
                <w:p w14:paraId="092ABF33">
                  <w:pPr>
                    <w:autoSpaceDE w:val="0"/>
                    <w:autoSpaceDN w:val="0"/>
                    <w:adjustRightInd w:val="0"/>
                    <w:jc w:val="left"/>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挡头采用中空吹塑工艺，表面皮纹处理造型美观，材料为HDPE 高密度聚乙烯，机械强度好，表面耐磨、抗污等良好的特性；带IPAD槽挡头1、 挡头长*宽*厚度（包括上、下厚度）最大尺寸要求：长度为746±5mm，高度不小于300mm，下部厚度为30±2mm。上部厚度为65±2mm挡头一边分布有个置物槽，可存放IPAD；且槽的尺寸为：底部长*宽尺寸不小于242*12 mm，两侧边高度尺寸为120±3 mm；挡头具有至少13个透气尺寸不小于63*15 mm的平椭圆孔和2个透气尺寸不小于126*32 mm的平椭圆孔；在挡头的左右两侧均有一次成型的警示线和刻度线，以确保符合国家标准的要求；挡头采用预埋2个M6螺母，以保证与立柱的连接可靠。</w:t>
                  </w:r>
                </w:p>
                <w:p w14:paraId="71C811B9">
                  <w:pPr>
                    <w:pStyle w:val="12"/>
                    <w:ind w:left="0" w:leftChars="0" w:firstLine="0" w:firstLineChars="0"/>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边档头中空吹塑板示意图：</w:t>
                  </w:r>
                </w:p>
                <w:p w14:paraId="5132E80F">
                  <w:pPr>
                    <w:pStyle w:val="12"/>
                    <w:ind w:left="0" w:leftChars="0" w:firstLine="0" w:firstLineChars="0"/>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drawing>
                      <wp:inline distT="0" distB="0" distL="114300" distR="114300">
                        <wp:extent cx="2212975" cy="1633855"/>
                        <wp:effectExtent l="0" t="0" r="9525" b="4445"/>
                        <wp:docPr id="116" name="Picture 2" descr="C:\Users\665566\Documents\Tencent Files\1461405236\FileRecv\305H挡头ipad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2" descr="C:\Users\665566\Documents\Tencent Files\1461405236\FileRecv\305H挡头ipad槽.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12975" cy="1633855"/>
                                </a:xfrm>
                                <a:prstGeom prst="rect">
                                  <a:avLst/>
                                </a:prstGeom>
                                <a:noFill/>
                              </pic:spPr>
                            </pic:pic>
                          </a:graphicData>
                        </a:graphic>
                      </wp:inline>
                    </w:drawing>
                  </w:r>
                </w:p>
              </w:tc>
              <w:tc>
                <w:tcPr>
                  <w:tcW w:w="2111" w:type="dxa"/>
                  <w:vAlign w:val="center"/>
                </w:tcPr>
                <w:p w14:paraId="2953E88C">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长度为746±5mm，高度不小于300mm，下部厚度为30±2mm</w:t>
                  </w:r>
                </w:p>
              </w:tc>
              <w:tc>
                <w:tcPr>
                  <w:tcW w:w="1165" w:type="dxa"/>
                  <w:vAlign w:val="center"/>
                </w:tcPr>
                <w:p w14:paraId="3BC2B1F0">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1个</w:t>
                  </w:r>
                </w:p>
              </w:tc>
            </w:tr>
            <w:tr w14:paraId="65D24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01916C95">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4</w:t>
                  </w:r>
                </w:p>
              </w:tc>
              <w:tc>
                <w:tcPr>
                  <w:tcW w:w="1119" w:type="dxa"/>
                  <w:vAlign w:val="center"/>
                </w:tcPr>
                <w:p w14:paraId="3DE8566B">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D型管</w:t>
                  </w:r>
                </w:p>
              </w:tc>
              <w:tc>
                <w:tcPr>
                  <w:tcW w:w="5216" w:type="dxa"/>
                  <w:vAlign w:val="center"/>
                </w:tcPr>
                <w:p w14:paraId="6B55C01E">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25*19mm（公差±1mm）D型管，管材壁厚≥1.0 mm。管材底面具有1个向内尺寸为R2的加强筋，从而保证横梁的强度；管材底部形状为R12.5mm±2mm的圆弧表面，起到安全防护作用。</w:t>
                  </w:r>
                </w:p>
                <w:p w14:paraId="731A4114">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D型管示意图：</w:t>
                  </w:r>
                </w:p>
                <w:p w14:paraId="1337B5C7">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1964690" cy="1473835"/>
                        <wp:effectExtent l="0" t="0" r="3810" b="12065"/>
                        <wp:docPr id="1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964690" cy="1473835"/>
                                </a:xfrm>
                                <a:prstGeom prst="rect">
                                  <a:avLst/>
                                </a:prstGeom>
                              </pic:spPr>
                            </pic:pic>
                          </a:graphicData>
                        </a:graphic>
                      </wp:inline>
                    </w:drawing>
                  </w:r>
                  <w:r>
                    <w:rPr>
                      <w:rFonts w:hint="eastAsia" w:asciiTheme="minorEastAsia" w:hAnsiTheme="minorEastAsia" w:eastAsiaTheme="minorEastAsia" w:cstheme="minorEastAsia"/>
                      <w:b w:val="0"/>
                      <w:bCs w:val="0"/>
                      <w:color w:val="auto"/>
                      <w:kern w:val="2"/>
                      <w:highlight w:val="none"/>
                    </w:rPr>
                    <w:t xml:space="preserve">  </w:t>
                  </w:r>
                  <w:r>
                    <w:rPr>
                      <w:rFonts w:hint="eastAsia" w:asciiTheme="minorEastAsia" w:hAnsiTheme="minorEastAsia" w:eastAsiaTheme="minorEastAsia" w:cstheme="minorEastAsia"/>
                      <w:b w:val="0"/>
                      <w:bCs w:val="0"/>
                      <w:color w:val="auto"/>
                      <w:kern w:val="2"/>
                      <w:highlight w:val="none"/>
                    </w:rPr>
                    <w:drawing>
                      <wp:inline distT="0" distB="0" distL="114300" distR="114300">
                        <wp:extent cx="1800225" cy="1625600"/>
                        <wp:effectExtent l="0" t="0" r="3175" b="0"/>
                        <wp:docPr id="1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0225" cy="1625600"/>
                                </a:xfrm>
                                <a:prstGeom prst="rect">
                                  <a:avLst/>
                                </a:prstGeom>
                              </pic:spPr>
                            </pic:pic>
                          </a:graphicData>
                        </a:graphic>
                      </wp:inline>
                    </w:drawing>
                  </w:r>
                </w:p>
              </w:tc>
              <w:tc>
                <w:tcPr>
                  <w:tcW w:w="2111" w:type="dxa"/>
                  <w:vAlign w:val="center"/>
                </w:tcPr>
                <w:p w14:paraId="6B433AA5">
                  <w:pPr>
                    <w:pStyle w:val="11"/>
                    <w:spacing w:after="150"/>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样品尺寸长：≧500mm</w:t>
                  </w:r>
                </w:p>
                <w:p w14:paraId="62589176">
                  <w:pPr>
                    <w:jc w:val="center"/>
                    <w:rPr>
                      <w:rFonts w:hint="eastAsia" w:asciiTheme="minorEastAsia" w:hAnsiTheme="minorEastAsia" w:eastAsiaTheme="minorEastAsia" w:cstheme="minorEastAsia"/>
                      <w:b w:val="0"/>
                      <w:bCs w:val="0"/>
                      <w:color w:val="auto"/>
                      <w:sz w:val="24"/>
                      <w:szCs w:val="24"/>
                      <w:highlight w:val="none"/>
                    </w:rPr>
                  </w:pPr>
                </w:p>
              </w:tc>
              <w:tc>
                <w:tcPr>
                  <w:tcW w:w="1165" w:type="dxa"/>
                  <w:vAlign w:val="center"/>
                </w:tcPr>
                <w:p w14:paraId="1418111E">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喷塑和未喷塑各1根</w:t>
                  </w:r>
                </w:p>
              </w:tc>
            </w:tr>
            <w:tr w14:paraId="259AD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6C1100DF">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5</w:t>
                  </w:r>
                </w:p>
              </w:tc>
              <w:tc>
                <w:tcPr>
                  <w:tcW w:w="1119" w:type="dxa"/>
                  <w:vAlign w:val="center"/>
                </w:tcPr>
                <w:p w14:paraId="501663F3">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爬梯立柱及脚套</w:t>
                  </w:r>
                </w:p>
              </w:tc>
              <w:tc>
                <w:tcPr>
                  <w:tcW w:w="5216" w:type="dxa"/>
                  <w:vAlign w:val="center"/>
                </w:tcPr>
                <w:p w14:paraId="4ED8EB27">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爬梯立柱采用66*33*40mm（公差±2mm），管材壁厚≥1.2 mm；造型成T型状，上下两端弧形（R9mm），且外侧面带有凹凸花纹（花纹要为模压一次成型）。</w:t>
                  </w:r>
                </w:p>
                <w:p w14:paraId="6DC81EE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爬梯立柱脚套规格：75*45*H35mm（公差±1mm），爬梯立柱脚套底部带有防滑圆点，爬梯立柱脚套为注塑一次成型。</w:t>
                  </w:r>
                </w:p>
                <w:p w14:paraId="5B02C488">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爬梯立柱示意图：</w:t>
                  </w:r>
                </w:p>
                <w:p w14:paraId="5AFDF5F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1254125" cy="2065020"/>
                        <wp:effectExtent l="0" t="0" r="3175" b="5080"/>
                        <wp:docPr id="1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54125" cy="2065020"/>
                                </a:xfrm>
                                <a:prstGeom prst="rect">
                                  <a:avLst/>
                                </a:prstGeom>
                              </pic:spPr>
                            </pic:pic>
                          </a:graphicData>
                        </a:graphic>
                      </wp:inline>
                    </w:drawing>
                  </w:r>
                </w:p>
              </w:tc>
              <w:tc>
                <w:tcPr>
                  <w:tcW w:w="2111" w:type="dxa"/>
                  <w:vAlign w:val="center"/>
                </w:tcPr>
                <w:p w14:paraId="2C074284">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样品尺寸长：≧500mm</w:t>
                  </w:r>
                </w:p>
              </w:tc>
              <w:tc>
                <w:tcPr>
                  <w:tcW w:w="1165" w:type="dxa"/>
                  <w:vAlign w:val="center"/>
                </w:tcPr>
                <w:p w14:paraId="561199DC">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喷塑和未喷塑各1根，且各都需带脚套1个</w:t>
                  </w:r>
                </w:p>
              </w:tc>
            </w:tr>
            <w:tr w14:paraId="3C028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78C66A15">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6</w:t>
                  </w:r>
                </w:p>
              </w:tc>
              <w:tc>
                <w:tcPr>
                  <w:tcW w:w="1119" w:type="dxa"/>
                  <w:vAlign w:val="center"/>
                </w:tcPr>
                <w:p w14:paraId="5CD105E8">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踏板</w:t>
                  </w:r>
                </w:p>
              </w:tc>
              <w:tc>
                <w:tcPr>
                  <w:tcW w:w="5216" w:type="dxa"/>
                  <w:vAlign w:val="center"/>
                </w:tcPr>
                <w:p w14:paraId="42DF2F4A">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踏板采用</w:t>
                  </w:r>
                  <w:r>
                    <w:rPr>
                      <w:rFonts w:hint="eastAsia" w:asciiTheme="minorEastAsia" w:hAnsiTheme="minorEastAsia" w:eastAsiaTheme="minorEastAsia" w:cstheme="minorEastAsia"/>
                      <w:b w:val="0"/>
                      <w:bCs w:val="0"/>
                      <w:color w:val="auto"/>
                      <w:kern w:val="2"/>
                      <w:highlight w:val="none"/>
                      <w:lang w:eastAsia="zh-CN"/>
                    </w:rPr>
                    <w:t>冷轧钢板</w:t>
                  </w:r>
                  <w:r>
                    <w:rPr>
                      <w:rFonts w:hint="eastAsia" w:asciiTheme="minorEastAsia" w:hAnsiTheme="minorEastAsia" w:eastAsiaTheme="minorEastAsia" w:cstheme="minorEastAsia"/>
                      <w:b w:val="0"/>
                      <w:bCs w:val="0"/>
                      <w:color w:val="auto"/>
                      <w:kern w:val="2"/>
                      <w:highlight w:val="none"/>
                    </w:rPr>
                    <w:t>冲压成型，尺寸为415mm*120mm*18mm（误差为±3mm），踏板表面有至少10条防滑条纹，踏板钢板厚度≥1.7mm ；踏板表面两端各有一个尺寸为 19*59mm（误差为±2mm）的内凹槽用于与一次注塑成型荧光板配合；荧光板采用一次注塑成型，尺寸为17mm*57mm（误差为±2mm），两端采用R9±2mm的圆角处理，其表面带有4个防滑点；荧光板底部与踏板采用两个倒扣圆柱进行固定。</w:t>
                  </w:r>
                </w:p>
                <w:p w14:paraId="05F27576">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踏板示意图：</w:t>
                  </w:r>
                </w:p>
                <w:p w14:paraId="13AE0BD7">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097405" cy="1371600"/>
                        <wp:effectExtent l="0" t="0" r="10795" b="0"/>
                        <wp:docPr id="1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8"/>
                                <pic:cNvPicPr>
                                  <a:picLocks noChangeAspect="1"/>
                                </pic:cNvPicPr>
                              </pic:nvPicPr>
                              <pic:blipFill>
                                <a:blip r:embed="rId39"/>
                                <a:stretch>
                                  <a:fillRect/>
                                </a:stretch>
                              </pic:blipFill>
                              <pic:spPr>
                                <a:xfrm>
                                  <a:off x="0" y="0"/>
                                  <a:ext cx="2097405" cy="1371600"/>
                                </a:xfrm>
                                <a:prstGeom prst="rect">
                                  <a:avLst/>
                                </a:prstGeom>
                              </pic:spPr>
                            </pic:pic>
                          </a:graphicData>
                        </a:graphic>
                      </wp:inline>
                    </w:drawing>
                  </w:r>
                </w:p>
              </w:tc>
              <w:tc>
                <w:tcPr>
                  <w:tcW w:w="2111" w:type="dxa"/>
                  <w:vAlign w:val="center"/>
                </w:tcPr>
                <w:p w14:paraId="003D7C90">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415mm*120mm*18mm（误差为±3mm）</w:t>
                  </w:r>
                </w:p>
              </w:tc>
              <w:tc>
                <w:tcPr>
                  <w:tcW w:w="1165" w:type="dxa"/>
                  <w:vAlign w:val="center"/>
                </w:tcPr>
                <w:p w14:paraId="7D288BFB">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喷塑和未喷塑各1块</w:t>
                  </w:r>
                </w:p>
              </w:tc>
            </w:tr>
            <w:tr w14:paraId="57F46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77523E53">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7</w:t>
                  </w:r>
                </w:p>
              </w:tc>
              <w:tc>
                <w:tcPr>
                  <w:tcW w:w="1119" w:type="dxa"/>
                  <w:vAlign w:val="center"/>
                </w:tcPr>
                <w:p w14:paraId="1BB287D1">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注塑封边桌面</w:t>
                  </w:r>
                </w:p>
                <w:p w14:paraId="75D71FCA">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3E556602">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桌面1210*600mm(士2mm)，桌面整体厚度达到≥25mm；采用E0级中密度纤维板贴三聚氰胺面+PP注塑封边、防水防潮；注塑单边厚度≥2mm，注塑边总高度30mm(士2mm)，保证使用过程中不易被撕掉或脱落；靠近人体方向封边面为倒内斜边设计，规格为≥15*15mm，有效防止学生碰伤；桌面中间有注塑封边带一体注塑成型穿线孔为φ60mm（±2mm）。</w:t>
                  </w:r>
                </w:p>
                <w:p w14:paraId="4D119407">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（样品需要切开一角，体现出内部基材）</w:t>
                  </w:r>
                </w:p>
                <w:p w14:paraId="043DD08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注塑封边桌面：</w:t>
                  </w:r>
                </w:p>
                <w:p w14:paraId="2D512510">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3019425" cy="1902460"/>
                        <wp:effectExtent l="0" t="0" r="3175" b="2540"/>
                        <wp:docPr id="1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019425" cy="1902460"/>
                                </a:xfrm>
                                <a:prstGeom prst="rect">
                                  <a:avLst/>
                                </a:prstGeom>
                              </pic:spPr>
                            </pic:pic>
                          </a:graphicData>
                        </a:graphic>
                      </wp:inline>
                    </w:drawing>
                  </w:r>
                </w:p>
              </w:tc>
              <w:tc>
                <w:tcPr>
                  <w:tcW w:w="2111" w:type="dxa"/>
                  <w:vAlign w:val="center"/>
                </w:tcPr>
                <w:p w14:paraId="5108D5A0">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桌面1210*600mm(士2mm)，桌面整体厚度达到≥25mm</w:t>
                  </w:r>
                </w:p>
              </w:tc>
              <w:tc>
                <w:tcPr>
                  <w:tcW w:w="1165" w:type="dxa"/>
                  <w:vAlign w:val="center"/>
                </w:tcPr>
                <w:p w14:paraId="27964865">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1片</w:t>
                  </w:r>
                </w:p>
              </w:tc>
            </w:tr>
            <w:tr w14:paraId="75D6B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29B5187A">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8</w:t>
                  </w:r>
                </w:p>
              </w:tc>
              <w:tc>
                <w:tcPr>
                  <w:tcW w:w="1119" w:type="dxa"/>
                  <w:vAlign w:val="center"/>
                </w:tcPr>
                <w:p w14:paraId="473347F1">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一字注塑包边锁片</w:t>
                  </w:r>
                </w:p>
                <w:p w14:paraId="1458DF27">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6E6CD0B9">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锁片由两种材料组成，最外面为ABS材料芯部为不锈钢零件进行一次注塑成型，两端为半圆型设计，芯部零件采用1.2mm厚度的不锈钢板一次冲压成型；锁片最大尺寸规格为：总长75±3mm， 宽 17±2mm， 高 3.5±1mm。</w:t>
                  </w:r>
                </w:p>
                <w:p w14:paraId="158E5382">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一字注塑包边锁片示意图：</w:t>
                  </w:r>
                </w:p>
                <w:p w14:paraId="1CA2AE1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402840" cy="1423035"/>
                        <wp:effectExtent l="0" t="0" r="10160" b="12065"/>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
                                <pic:cNvPicPr>
                                  <a:picLocks noChangeAspect="1"/>
                                </pic:cNvPicPr>
                              </pic:nvPicPr>
                              <pic:blipFill>
                                <a:blip r:embed="rId32" cstate="print"/>
                                <a:stretch>
                                  <a:fillRect/>
                                </a:stretch>
                              </pic:blipFill>
                              <pic:spPr>
                                <a:xfrm>
                                  <a:off x="0" y="0"/>
                                  <a:ext cx="2402840" cy="1423035"/>
                                </a:xfrm>
                                <a:prstGeom prst="rect">
                                  <a:avLst/>
                                </a:prstGeom>
                                <a:noFill/>
                                <a:ln w="9525">
                                  <a:noFill/>
                                </a:ln>
                              </pic:spPr>
                            </pic:pic>
                          </a:graphicData>
                        </a:graphic>
                      </wp:inline>
                    </w:drawing>
                  </w:r>
                </w:p>
              </w:tc>
              <w:tc>
                <w:tcPr>
                  <w:tcW w:w="2111" w:type="dxa"/>
                  <w:vAlign w:val="center"/>
                </w:tcPr>
                <w:p w14:paraId="6EE7C5B5">
                  <w:pPr>
                    <w:jc w:val="center"/>
                    <w:rPr>
                      <w:rFonts w:hint="eastAsia" w:asciiTheme="minorEastAsia" w:hAnsiTheme="minorEastAsia" w:eastAsiaTheme="minorEastAsia" w:cstheme="minorEastAsia"/>
                      <w:b w:val="0"/>
                      <w:bCs w:val="0"/>
                      <w:color w:val="auto"/>
                      <w:sz w:val="24"/>
                      <w:szCs w:val="24"/>
                      <w:highlight w:val="none"/>
                    </w:rPr>
                  </w:pPr>
                </w:p>
              </w:tc>
              <w:tc>
                <w:tcPr>
                  <w:tcW w:w="1165" w:type="dxa"/>
                  <w:vAlign w:val="center"/>
                </w:tcPr>
                <w:p w14:paraId="38C3A2F4">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1个</w:t>
                  </w:r>
                </w:p>
              </w:tc>
            </w:tr>
            <w:tr w14:paraId="2986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70EC9910">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9</w:t>
                  </w:r>
                </w:p>
              </w:tc>
              <w:tc>
                <w:tcPr>
                  <w:tcW w:w="1119" w:type="dxa"/>
                  <w:vAlign w:val="center"/>
                </w:tcPr>
                <w:p w14:paraId="71F93138">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铝合金圆形荧光拉手</w:t>
                  </w:r>
                </w:p>
                <w:p w14:paraId="0AE7EE60">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4B343615">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铝合金圆形荧光拉手：规格：Ф25（±1）*25（±1）mm,固定孔为M4;底座为Ф25（±1）*3（±1）mm；中间高度为12（±1）mm；上部为三层防滑设计，高度为9mm（±1）,上圆弧角R度为大于1.5mm；顶层为圆形，内带中空圆形荧光设计；荧光采用滴胶工艺制作，宽度≥3mm ,厚度≥1mm;荧光条内圆直径≥13mm,外圆直径≥21mm。</w:t>
                  </w:r>
                </w:p>
                <w:p w14:paraId="274695FE">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铝合金圆形荧光拉手示意图：</w:t>
                  </w:r>
                </w:p>
                <w:p w14:paraId="36FBA8E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1808480" cy="2080260"/>
                        <wp:effectExtent l="0" t="0" r="7620" b="2540"/>
                        <wp:docPr id="1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8"/>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8480" cy="2080260"/>
                                </a:xfrm>
                                <a:prstGeom prst="rect">
                                  <a:avLst/>
                                </a:prstGeom>
                              </pic:spPr>
                            </pic:pic>
                          </a:graphicData>
                        </a:graphic>
                      </wp:inline>
                    </w:drawing>
                  </w:r>
                </w:p>
              </w:tc>
              <w:tc>
                <w:tcPr>
                  <w:tcW w:w="2111" w:type="dxa"/>
                  <w:vAlign w:val="center"/>
                </w:tcPr>
                <w:p w14:paraId="0CF744C2">
                  <w:pPr>
                    <w:jc w:val="center"/>
                    <w:rPr>
                      <w:rFonts w:hint="eastAsia" w:asciiTheme="minorEastAsia" w:hAnsiTheme="minorEastAsia" w:eastAsiaTheme="minorEastAsia" w:cstheme="minorEastAsia"/>
                      <w:b w:val="0"/>
                      <w:bCs w:val="0"/>
                      <w:color w:val="auto"/>
                      <w:sz w:val="24"/>
                      <w:szCs w:val="24"/>
                      <w:highlight w:val="none"/>
                    </w:rPr>
                  </w:pPr>
                </w:p>
              </w:tc>
              <w:tc>
                <w:tcPr>
                  <w:tcW w:w="1165" w:type="dxa"/>
                  <w:vAlign w:val="center"/>
                </w:tcPr>
                <w:p w14:paraId="0794995C">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需提供三个不同颜色的铝合金圆形荧光拉手样品，供采购人选择</w:t>
                  </w:r>
                </w:p>
              </w:tc>
            </w:tr>
            <w:tr w14:paraId="5DCDA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33F85777">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10</w:t>
                  </w:r>
                </w:p>
              </w:tc>
              <w:tc>
                <w:tcPr>
                  <w:tcW w:w="1119" w:type="dxa"/>
                  <w:vAlign w:val="center"/>
                </w:tcPr>
                <w:p w14:paraId="2260A982">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衣杆两侧配固定架和衣杆盖</w:t>
                  </w:r>
                </w:p>
                <w:p w14:paraId="744DD2E8">
                  <w:pPr>
                    <w:pStyle w:val="11"/>
                    <w:spacing w:after="150"/>
                    <w:jc w:val="center"/>
                    <w:rPr>
                      <w:rFonts w:hint="eastAsia" w:asciiTheme="minorEastAsia" w:hAnsiTheme="minorEastAsia" w:eastAsiaTheme="minorEastAsia" w:cstheme="minorEastAsia"/>
                      <w:b w:val="0"/>
                      <w:bCs w:val="0"/>
                      <w:color w:val="auto"/>
                      <w:kern w:val="2"/>
                      <w:highlight w:val="none"/>
                    </w:rPr>
                  </w:pPr>
                </w:p>
              </w:tc>
              <w:tc>
                <w:tcPr>
                  <w:tcW w:w="5216" w:type="dxa"/>
                  <w:vAlign w:val="center"/>
                </w:tcPr>
                <w:p w14:paraId="569A2B23">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衣杆两侧配固定架和衣杆盖：锌合金衣杆固定架采用圆形留有四孔固定位规格：57*57*11mm（±2％）厚度≥1.4mm，支撑衣杆处宽度≥7.5mm厚度≥3mm；配有锌合金衣杆盖，锌合金衣杆盖规格：60*60*13mm（±2％）厚度≥1.1mm。</w:t>
                  </w:r>
                </w:p>
                <w:p w14:paraId="2380B0C3">
                  <w:pP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衣杆两侧配固定架和衣杆盖示意图：</w:t>
                  </w:r>
                </w:p>
                <w:p w14:paraId="34AC35C2">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189480" cy="2348865"/>
                        <wp:effectExtent l="0" t="0" r="7620" b="635"/>
                        <wp:docPr id="1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
                                <pic:cNvPicPr>
                                  <a:picLocks noChangeAspect="1"/>
                                </pic:cNvPicPr>
                              </pic:nvPicPr>
                              <pic:blipFill>
                                <a:blip r:embed="rId34"/>
                                <a:stretch>
                                  <a:fillRect/>
                                </a:stretch>
                              </pic:blipFill>
                              <pic:spPr>
                                <a:xfrm>
                                  <a:off x="0" y="0"/>
                                  <a:ext cx="2189480" cy="2348865"/>
                                </a:xfrm>
                                <a:prstGeom prst="rect">
                                  <a:avLst/>
                                </a:prstGeom>
                                <a:noFill/>
                                <a:ln>
                                  <a:noFill/>
                                </a:ln>
                              </pic:spPr>
                            </pic:pic>
                          </a:graphicData>
                        </a:graphic>
                      </wp:inline>
                    </w:drawing>
                  </w:r>
                  <w:r>
                    <w:rPr>
                      <w:rFonts w:hint="eastAsia" w:asciiTheme="minorEastAsia" w:hAnsiTheme="minorEastAsia" w:eastAsiaTheme="minorEastAsia" w:cstheme="minorEastAsia"/>
                      <w:b w:val="0"/>
                      <w:bCs w:val="0"/>
                      <w:color w:val="auto"/>
                      <w:kern w:val="2"/>
                      <w:highlight w:val="none"/>
                    </w:rPr>
                    <w:t xml:space="preserve">  </w:t>
                  </w:r>
                </w:p>
                <w:p w14:paraId="081546DC">
                  <w:pPr>
                    <w:pStyle w:val="11"/>
                    <w:spacing w:after="150" w:line="293" w:lineRule="atLeast"/>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drawing>
                      <wp:inline distT="0" distB="0" distL="114300" distR="114300">
                        <wp:extent cx="2972435" cy="2068830"/>
                        <wp:effectExtent l="0" t="0" r="12065" b="1270"/>
                        <wp:docPr id="1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3"/>
                                <pic:cNvPicPr>
                                  <a:picLocks noChangeAspect="1"/>
                                </pic:cNvPicPr>
                              </pic:nvPicPr>
                              <pic:blipFill>
                                <a:blip r:embed="rId35"/>
                                <a:stretch>
                                  <a:fillRect/>
                                </a:stretch>
                              </pic:blipFill>
                              <pic:spPr>
                                <a:xfrm>
                                  <a:off x="0" y="0"/>
                                  <a:ext cx="2972435" cy="2068830"/>
                                </a:xfrm>
                                <a:prstGeom prst="rect">
                                  <a:avLst/>
                                </a:prstGeom>
                                <a:noFill/>
                                <a:ln>
                                  <a:noFill/>
                                </a:ln>
                              </pic:spPr>
                            </pic:pic>
                          </a:graphicData>
                        </a:graphic>
                      </wp:inline>
                    </w:drawing>
                  </w:r>
                </w:p>
              </w:tc>
              <w:tc>
                <w:tcPr>
                  <w:tcW w:w="2111" w:type="dxa"/>
                  <w:vAlign w:val="center"/>
                </w:tcPr>
                <w:p w14:paraId="3F35890D">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锌合金衣杆固定架57*57*11mm（±2％）厚度≥1.4mm，锌合金衣杆盖规格：60*60*13mm（±2％）厚度≥1.1mm</w:t>
                  </w:r>
                </w:p>
              </w:tc>
              <w:tc>
                <w:tcPr>
                  <w:tcW w:w="1165" w:type="dxa"/>
                  <w:vAlign w:val="center"/>
                </w:tcPr>
                <w:p w14:paraId="58F2E897">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需提供一套衣杆两侧配固定架和衣杆盖样品</w:t>
                  </w:r>
                </w:p>
              </w:tc>
            </w:tr>
            <w:tr w14:paraId="1CE33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682" w:type="dxa"/>
                  <w:vAlign w:val="center"/>
                </w:tcPr>
                <w:p w14:paraId="1D9464E2">
                  <w:pPr>
                    <w:pStyle w:val="11"/>
                    <w:spacing w:after="150" w:line="293" w:lineRule="atLeast"/>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11</w:t>
                  </w:r>
                </w:p>
              </w:tc>
              <w:tc>
                <w:tcPr>
                  <w:tcW w:w="1119" w:type="dxa"/>
                  <w:vAlign w:val="center"/>
                </w:tcPr>
                <w:p w14:paraId="1324FEC3">
                  <w:pPr>
                    <w:pStyle w:val="11"/>
                    <w:spacing w:after="150"/>
                    <w:jc w:val="center"/>
                    <w:rPr>
                      <w:rFonts w:hint="eastAsia" w:asciiTheme="minorEastAsia" w:hAnsiTheme="minorEastAsia" w:eastAsiaTheme="minorEastAsia" w:cstheme="minorEastAsia"/>
                      <w:b w:val="0"/>
                      <w:bCs w:val="0"/>
                      <w:color w:val="auto"/>
                      <w:kern w:val="2"/>
                      <w:highlight w:val="none"/>
                    </w:rPr>
                  </w:pPr>
                  <w:r>
                    <w:rPr>
                      <w:rFonts w:hint="eastAsia" w:asciiTheme="minorEastAsia" w:hAnsiTheme="minorEastAsia" w:eastAsiaTheme="minorEastAsia" w:cstheme="minorEastAsia"/>
                      <w:b w:val="0"/>
                      <w:bCs w:val="0"/>
                      <w:color w:val="auto"/>
                      <w:kern w:val="2"/>
                      <w:highlight w:val="none"/>
                    </w:rPr>
                    <w:t>公寓椅</w:t>
                  </w:r>
                </w:p>
              </w:tc>
              <w:tc>
                <w:tcPr>
                  <w:tcW w:w="5216" w:type="dxa"/>
                  <w:vAlign w:val="center"/>
                </w:tcPr>
                <w:p w14:paraId="56F31491">
                  <w:pPr>
                    <w:spacing w:line="160" w:lineRule="atLeast"/>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规格：450*550*780mm（长*深*高，±10mm）</w:t>
                  </w:r>
                </w:p>
                <w:p w14:paraId="3133C1F7">
                  <w:pPr>
                    <w:spacing w:line="160" w:lineRule="atLeast"/>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材质说明：（椅面、椅背颜色可选）</w:t>
                  </w:r>
                </w:p>
                <w:p w14:paraId="390F99D2">
                  <w:pPr>
                    <w:pStyle w:val="20"/>
                    <w:rPr>
                      <w:rFonts w:asciiTheme="minorEastAsia" w:hAnsiTheme="minorEastAsia" w:cstheme="minorEastAsia"/>
                      <w:b w:val="0"/>
                      <w:bCs w:val="0"/>
                      <w:color w:val="auto"/>
                      <w:kern w:val="2"/>
                      <w:sz w:val="24"/>
                      <w:szCs w:val="24"/>
                      <w:highlight w:val="none"/>
                      <w:lang w:eastAsia="zh-CN"/>
                    </w:rPr>
                  </w:pPr>
                  <w:r>
                    <w:rPr>
                      <w:rFonts w:asciiTheme="minorEastAsia" w:hAnsiTheme="minorEastAsia" w:cstheme="minorEastAsia"/>
                      <w:b w:val="0"/>
                      <w:bCs w:val="0"/>
                      <w:color w:val="auto"/>
                      <w:kern w:val="2"/>
                      <w:sz w:val="24"/>
                      <w:szCs w:val="24"/>
                      <w:highlight w:val="none"/>
                      <w:lang w:eastAsia="zh-CN"/>
                    </w:rPr>
                    <w:t>1椅架：椅脚和靠背管都采用≥40*20*1.4mm的椭圆钢管，底座中间连接杆采用≥40*20*1.2mm的椭圆钢管。椅架框采用≥30*15*1.4mm的椭圆钢管。2、椅面：椅面规格：座板深度450 （±5mm）*座板宽度 415mm（±5mm）。椅面采用中空吹塑工艺一次性成型。表面皮纹处理，符合人体工程学。材料为HDPE高密度聚乙烯。椅架框和椅面连接方式为椅面内嵌在椅架的U型框内。3、椅背：1.椅背靠背部分规格为靠背板宽度455mm（±5mm）*靠背板高度255mm（±5mm）。椅背用中空吹塑工艺一次性成型。表面皮纹处理，弧形结构符合人体工程学。材料为HDPE高密度聚乙烯。椅背上沿向内折边，折边处光滑圆润，没有毛刺。椅背上方具有宽度≥110mm的仿手型拉手口。椅背内插钢管为≥40*20*厚度1.4mm椭圆管。4、脚套：采用前脚套、后脚垫设计，采用PP材料一次性注塑成型。</w:t>
                  </w:r>
                </w:p>
                <w:p w14:paraId="2D175C43">
                  <w:pPr>
                    <w:pStyle w:val="2"/>
                    <w:jc w:val="both"/>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公寓椅示意图：</w:t>
                  </w:r>
                </w:p>
                <w:p w14:paraId="46B4D11E">
                  <w:pPr>
                    <w:pStyle w:val="20"/>
                    <w:rPr>
                      <w:rFonts w:asciiTheme="minorEastAsia" w:hAnsiTheme="minorEastAsia" w:cstheme="minorEastAsia"/>
                      <w:b w:val="0"/>
                      <w:bCs w:val="0"/>
                      <w:color w:val="auto"/>
                      <w:kern w:val="2"/>
                      <w:sz w:val="24"/>
                      <w:szCs w:val="24"/>
                      <w:highlight w:val="none"/>
                      <w:lang w:eastAsia="zh-CN"/>
                    </w:rPr>
                  </w:pPr>
                  <w:r>
                    <w:rPr>
                      <w:rFonts w:asciiTheme="minorEastAsia" w:hAnsiTheme="minorEastAsia" w:cstheme="minorEastAsia"/>
                      <w:b w:val="0"/>
                      <w:bCs w:val="0"/>
                      <w:color w:val="auto"/>
                      <w:kern w:val="2"/>
                      <w:sz w:val="24"/>
                      <w:szCs w:val="24"/>
                      <w:highlight w:val="none"/>
                      <w:lang w:eastAsia="zh-CN"/>
                    </w:rPr>
                    <w:drawing>
                      <wp:inline distT="0" distB="0" distL="114300" distR="114300">
                        <wp:extent cx="2178050" cy="2945765"/>
                        <wp:effectExtent l="0" t="0" r="6350" b="635"/>
                        <wp:docPr id="1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5"/>
                                <pic:cNvPicPr>
                                  <a:picLocks noChangeAspect="1"/>
                                </pic:cNvPicPr>
                              </pic:nvPicPr>
                              <pic:blipFill>
                                <a:blip r:embed="rId38"/>
                                <a:stretch>
                                  <a:fillRect/>
                                </a:stretch>
                              </pic:blipFill>
                              <pic:spPr>
                                <a:xfrm>
                                  <a:off x="0" y="0"/>
                                  <a:ext cx="2178050" cy="2945765"/>
                                </a:xfrm>
                                <a:prstGeom prst="rect">
                                  <a:avLst/>
                                </a:prstGeom>
                                <a:noFill/>
                                <a:ln>
                                  <a:noFill/>
                                </a:ln>
                              </pic:spPr>
                            </pic:pic>
                          </a:graphicData>
                        </a:graphic>
                      </wp:inline>
                    </w:drawing>
                  </w:r>
                </w:p>
              </w:tc>
              <w:tc>
                <w:tcPr>
                  <w:tcW w:w="2111" w:type="dxa"/>
                  <w:vAlign w:val="center"/>
                </w:tcPr>
                <w:p w14:paraId="441B5AB0">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450*550*780mm（长*深*高，±10mm）</w:t>
                  </w:r>
                </w:p>
              </w:tc>
              <w:tc>
                <w:tcPr>
                  <w:tcW w:w="1165" w:type="dxa"/>
                  <w:vAlign w:val="center"/>
                </w:tcPr>
                <w:p w14:paraId="419E4369">
                  <w:pPr>
                    <w:jc w:val="cente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1张</w:t>
                  </w:r>
                </w:p>
              </w:tc>
            </w:tr>
            <w:tr w14:paraId="30004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3" w:type="dxa"/>
                  <w:gridSpan w:val="5"/>
                </w:tcPr>
                <w:p w14:paraId="08A203EB">
                  <w:pPr>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备注：</w:t>
                  </w:r>
                </w:p>
                <w:p w14:paraId="5A7358DD">
                  <w:pPr>
                    <w:spacing w:line="360" w:lineRule="auto"/>
                    <w:ind w:firstLine="480" w:firstLineChars="200"/>
                    <w:rPr>
                      <w:rFonts w:hint="eastAsia" w:asciiTheme="minorEastAsia" w:hAnsiTheme="minorEastAsia" w:eastAsiaTheme="minorEastAsia" w:cstheme="minorEastAsia"/>
                      <w:b w:val="0"/>
                      <w:bCs w:val="0"/>
                      <w:color w:val="auto"/>
                      <w:sz w:val="24"/>
                      <w:szCs w:val="24"/>
                      <w:highlight w:val="none"/>
                    </w:rPr>
                  </w:pPr>
                  <w:r>
                    <w:rPr>
                      <w:rFonts w:hint="eastAsia" w:asciiTheme="minorEastAsia" w:hAnsiTheme="minorEastAsia" w:eastAsiaTheme="minorEastAsia" w:cstheme="minorEastAsia"/>
                      <w:b w:val="0"/>
                      <w:bCs w:val="0"/>
                      <w:color w:val="auto"/>
                      <w:sz w:val="24"/>
                      <w:szCs w:val="24"/>
                      <w:highlight w:val="none"/>
                    </w:rPr>
                    <w:t>投标人在递交投标文件时应提供以上样品，提供的样品</w:t>
                  </w:r>
                  <w:r>
                    <w:rPr>
                      <w:rFonts w:hint="eastAsia" w:asciiTheme="minorEastAsia" w:hAnsiTheme="minorEastAsia" w:eastAsiaTheme="minorEastAsia" w:cstheme="minorEastAsia"/>
                      <w:b w:val="0"/>
                      <w:bCs w:val="0"/>
                      <w:color w:val="auto"/>
                      <w:sz w:val="24"/>
                      <w:szCs w:val="24"/>
                      <w:highlight w:val="none"/>
                      <w:lang w:eastAsia="zh-CN"/>
                    </w:rPr>
                    <w:t>需</w:t>
                  </w:r>
                  <w:r>
                    <w:rPr>
                      <w:rFonts w:hint="eastAsia" w:asciiTheme="minorEastAsia" w:hAnsiTheme="minorEastAsia" w:eastAsiaTheme="minorEastAsia" w:cstheme="minorEastAsia"/>
                      <w:b w:val="0"/>
                      <w:bCs w:val="0"/>
                      <w:color w:val="auto"/>
                      <w:sz w:val="24"/>
                      <w:szCs w:val="24"/>
                      <w:highlight w:val="none"/>
                    </w:rPr>
                    <w:t>符合招标内容要求的参数尺寸、结构、外观造型。产品中有尺寸要求但未明确尺寸偏离值的，均要求其尺寸的偏离值不超过0.5%（除有明确尺寸偏离值外）。</w:t>
                  </w:r>
                </w:p>
              </w:tc>
            </w:tr>
          </w:tbl>
          <w:p w14:paraId="7B1AED6A">
            <w:pPr>
              <w:rPr>
                <w:color w:val="auto"/>
                <w:highlight w:val="none"/>
              </w:rPr>
            </w:pPr>
          </w:p>
          <w:p w14:paraId="7C5A630E">
            <w:pPr>
              <w:widowControl/>
              <w:numPr>
                <w:ilvl w:val="0"/>
                <w:numId w:val="3"/>
              </w:numPr>
              <w:spacing w:line="360" w:lineRule="auto"/>
              <w:ind w:firstLine="471"/>
              <w:jc w:val="left"/>
              <w:rPr>
                <w:rFonts w:hint="eastAsia"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由于市行政服务中心地下停车库不让限高&gt;2米车辆进入，因此送样品的车辆限高≦2米。不遵守此规定，后果自负。</w:t>
            </w:r>
          </w:p>
          <w:p w14:paraId="1CFFCCFE">
            <w:pPr>
              <w:widowControl/>
              <w:numPr>
                <w:ilvl w:val="-1"/>
                <w:numId w:val="0"/>
              </w:numPr>
              <w:spacing w:line="360" w:lineRule="auto"/>
              <w:ind w:firstLine="482" w:firstLineChars="200"/>
              <w:jc w:val="left"/>
              <w:rPr>
                <w:rFonts w:hint="eastAsia" w:ascii="宋体" w:hAnsi="宋体" w:cs="宋体"/>
                <w:color w:val="auto"/>
                <w:kern w:val="0"/>
                <w:sz w:val="24"/>
                <w:szCs w:val="24"/>
                <w:highlight w:val="none"/>
                <w:lang w:bidi="ar"/>
              </w:rPr>
            </w:pPr>
            <w:r>
              <w:rPr>
                <w:rFonts w:hint="eastAsia" w:asciiTheme="minorEastAsia" w:hAnsiTheme="minorEastAsia" w:eastAsiaTheme="minorEastAsia" w:cstheme="minorEastAsia"/>
                <w:b/>
                <w:bCs/>
                <w:color w:val="auto"/>
                <w:sz w:val="24"/>
                <w:szCs w:val="24"/>
                <w:highlight w:val="none"/>
                <w:lang w:val="en-US" w:eastAsia="zh-CN"/>
              </w:rPr>
              <w:t>11、家具安装完毕后须对每间宿舍的床位进行数字编码喷漆，喷码前需与使用单位确认颜色、位置、大小、</w:t>
            </w:r>
            <w:r>
              <w:rPr>
                <w:rFonts w:hint="default" w:asciiTheme="minorEastAsia" w:hAnsiTheme="minorEastAsia" w:eastAsiaTheme="minorEastAsia" w:cstheme="minorEastAsia"/>
                <w:b/>
                <w:bCs/>
                <w:color w:val="auto"/>
                <w:sz w:val="24"/>
                <w:szCs w:val="24"/>
                <w:highlight w:val="none"/>
                <w:lang w:eastAsia="zh-CN"/>
              </w:rPr>
              <w:t>序号</w:t>
            </w:r>
            <w:r>
              <w:rPr>
                <w:rFonts w:hint="eastAsia" w:asciiTheme="minorEastAsia" w:hAnsiTheme="minorEastAsia" w:eastAsiaTheme="minorEastAsia" w:cstheme="minorEastAsia"/>
                <w:b/>
                <w:bCs/>
                <w:color w:val="auto"/>
                <w:sz w:val="24"/>
                <w:szCs w:val="24"/>
                <w:highlight w:val="none"/>
                <w:lang w:val="en-US" w:eastAsia="zh-CN"/>
              </w:rPr>
              <w:t>等。</w:t>
            </w:r>
          </w:p>
        </w:tc>
        <w:tc>
          <w:tcPr>
            <w:tcW w:w="779" w:type="dxa"/>
            <w:tcBorders>
              <w:top w:val="single" w:color="auto" w:sz="4" w:space="0"/>
              <w:left w:val="single" w:color="auto" w:sz="4" w:space="0"/>
              <w:bottom w:val="single" w:color="auto" w:sz="4" w:space="0"/>
              <w:right w:val="single" w:color="auto" w:sz="4" w:space="0"/>
            </w:tcBorders>
            <w:vAlign w:val="center"/>
          </w:tcPr>
          <w:p w14:paraId="74D623B6">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1DFEDB1">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26DD491">
            <w:pPr>
              <w:spacing w:line="360" w:lineRule="auto"/>
              <w:jc w:val="center"/>
              <w:rPr>
                <w:rFonts w:hint="eastAsia" w:ascii="宋体" w:hAnsi="宋体" w:cs="宋体"/>
                <w:color w:val="auto"/>
                <w:sz w:val="24"/>
                <w:szCs w:val="24"/>
                <w:highlight w:val="none"/>
              </w:rPr>
            </w:pPr>
          </w:p>
        </w:tc>
      </w:tr>
      <w:tr w14:paraId="5AF78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3A42E911">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145C2A35">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39D74603">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401FF366">
            <w:pPr>
              <w:ind w:firstLine="422" w:firstLineChars="200"/>
              <w:rPr>
                <w:b/>
                <w:color w:val="auto"/>
                <w:highlight w:val="none"/>
              </w:rPr>
            </w:pPr>
            <w:r>
              <w:rPr>
                <w:rFonts w:hint="eastAsia"/>
                <w:b/>
                <w:color w:val="auto"/>
                <w:highlight w:val="none"/>
              </w:rPr>
              <w:t>四、商务响应要求</w:t>
            </w:r>
          </w:p>
          <w:p w14:paraId="53E67B5C">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1.投标人应在投标文件中提供最近三年来在中国，家具项目的合同业绩证明材料（提供项目中标公告或中标通知书及合同</w:t>
            </w:r>
            <w:r>
              <w:rPr>
                <w:rFonts w:hint="eastAsia" w:ascii="宋体" w:hAnsi="宋体"/>
                <w:color w:val="auto"/>
                <w:sz w:val="24"/>
                <w:szCs w:val="24"/>
                <w:highlight w:val="none"/>
                <w:lang w:eastAsia="zh-CN"/>
              </w:rPr>
              <w:t>复印件（含扫描件）</w:t>
            </w:r>
            <w:r>
              <w:rPr>
                <w:rFonts w:hint="eastAsia" w:ascii="宋体" w:hAnsi="宋体"/>
                <w:color w:val="auto"/>
                <w:sz w:val="24"/>
                <w:szCs w:val="24"/>
                <w:highlight w:val="none"/>
              </w:rPr>
              <w:t>，加盖单位公章，原件备查），需提供项目名称、合同金额、中标日期、联系人。</w:t>
            </w:r>
          </w:p>
          <w:p w14:paraId="27FAAEC0">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2.投标人应在投标文件中书面承诺自身已经具备自行生产所投价的全系列产品的能力。</w:t>
            </w:r>
          </w:p>
          <w:p w14:paraId="17176EFE">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3.投标人应在投标文件中提供会计师事务所出具的上年或2024年审计报告及银行出具的资信证明文件；如属新企业需出具当年验资报告。</w:t>
            </w:r>
          </w:p>
          <w:p w14:paraId="5035E27A">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宋体" w:hAnsi="宋体"/>
                <w:color w:val="auto"/>
                <w:sz w:val="24"/>
                <w:szCs w:val="24"/>
                <w:highlight w:val="none"/>
              </w:rPr>
              <w:t>4．投标人应在投标文件中提供生产合同管理计划保证书一份。</w:t>
            </w:r>
          </w:p>
        </w:tc>
        <w:tc>
          <w:tcPr>
            <w:tcW w:w="779" w:type="dxa"/>
            <w:tcBorders>
              <w:top w:val="single" w:color="auto" w:sz="4" w:space="0"/>
              <w:left w:val="single" w:color="auto" w:sz="4" w:space="0"/>
              <w:bottom w:val="single" w:color="auto" w:sz="4" w:space="0"/>
              <w:right w:val="single" w:color="auto" w:sz="4" w:space="0"/>
            </w:tcBorders>
            <w:vAlign w:val="center"/>
          </w:tcPr>
          <w:p w14:paraId="3F0D5378">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260231EA">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3C6C9FBA">
            <w:pPr>
              <w:spacing w:line="360" w:lineRule="auto"/>
              <w:jc w:val="center"/>
              <w:rPr>
                <w:rFonts w:hint="eastAsia" w:ascii="宋体" w:hAnsi="宋体" w:cs="宋体"/>
                <w:color w:val="auto"/>
                <w:sz w:val="24"/>
                <w:szCs w:val="24"/>
                <w:highlight w:val="none"/>
              </w:rPr>
            </w:pPr>
          </w:p>
        </w:tc>
      </w:tr>
      <w:tr w14:paraId="62048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5D02FA3E">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15E1665D">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54EC9589">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4E0BD193">
            <w:pPr>
              <w:pStyle w:val="7"/>
              <w:spacing w:line="360" w:lineRule="auto"/>
              <w:ind w:firstLine="482" w:firstLineChars="200"/>
              <w:rPr>
                <w:rFonts w:hint="eastAsia" w:hAnsi="宋体"/>
                <w:b/>
                <w:color w:val="auto"/>
                <w:sz w:val="24"/>
                <w:szCs w:val="24"/>
                <w:highlight w:val="none"/>
              </w:rPr>
            </w:pPr>
            <w:r>
              <w:rPr>
                <w:rFonts w:hint="eastAsia" w:hAnsi="宋体"/>
                <w:b/>
                <w:color w:val="auto"/>
                <w:sz w:val="24"/>
                <w:szCs w:val="24"/>
                <w:highlight w:val="none"/>
              </w:rPr>
              <w:t>五、货物质量标准、验收标准</w:t>
            </w:r>
          </w:p>
          <w:p w14:paraId="30B125AB">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1．投标人提供货物的制造标准、安装标准、验收标准及技术规范等有关资料应符合国家规定的有关标准、规范要求。</w:t>
            </w:r>
          </w:p>
          <w:p w14:paraId="25C1D33F">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2．投标人应保证提供原产、正宗品牌货物，不得用伪劣货物替代；采购人或使用单位可以随机抽取货物商品进行破坏性验收。如出现上述质量问题采购单位有权退货并解除合同。</w:t>
            </w:r>
          </w:p>
          <w:p w14:paraId="51C39542">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3．在生产过程或验收过程中发现中标供应商对中标货物进行分包、转包，采购单位有权单方解除合同并有权拒付全部货款。</w:t>
            </w:r>
          </w:p>
          <w:p w14:paraId="010D5614">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4．货物安装所需的配件或附加件，在合同签订前由中标供应商提交具体清单给</w:t>
            </w:r>
            <w:r>
              <w:rPr>
                <w:rFonts w:hint="eastAsia" w:hAnsi="宋体"/>
                <w:bCs/>
                <w:color w:val="auto"/>
                <w:sz w:val="24"/>
                <w:szCs w:val="24"/>
                <w:highlight w:val="none"/>
              </w:rPr>
              <w:t>使用</w:t>
            </w:r>
            <w:r>
              <w:rPr>
                <w:rFonts w:hint="eastAsia" w:hAnsi="宋体"/>
                <w:color w:val="auto"/>
                <w:sz w:val="24"/>
                <w:szCs w:val="24"/>
                <w:highlight w:val="none"/>
              </w:rPr>
              <w:t>单位确认。</w:t>
            </w:r>
          </w:p>
          <w:p w14:paraId="5CA2EF50">
            <w:pPr>
              <w:pStyle w:val="7"/>
              <w:numPr>
                <w:ilvl w:val="-1"/>
                <w:numId w:val="0"/>
              </w:numP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货物初验：货物运抵采购单位指定地点后由</w:t>
            </w:r>
            <w:r>
              <w:rPr>
                <w:rFonts w:hint="eastAsia" w:hAnsi="宋体"/>
                <w:bCs/>
                <w:color w:val="auto"/>
                <w:sz w:val="24"/>
                <w:szCs w:val="24"/>
                <w:highlight w:val="none"/>
              </w:rPr>
              <w:t>使用</w:t>
            </w:r>
            <w:r>
              <w:rPr>
                <w:rFonts w:hint="eastAsia" w:hAnsi="宋体"/>
                <w:color w:val="auto"/>
                <w:sz w:val="24"/>
                <w:szCs w:val="24"/>
                <w:highlight w:val="none"/>
              </w:rPr>
              <w:t>单位对照采购清单对外观、包装及数量进行验收。到货初验时，中标供应商代表必须在场。同时，中标供应商必须提供货物的相关手续（品牌证书、装箱清单含货物的主附件、原产地证明书、品质保证书、出厂检验报告、合格证书、使用及维护说明书）。每件产品必须说明材质、规格、涂料、粘合剂等及是否含有毒、有害物质等情况。</w:t>
            </w:r>
          </w:p>
          <w:p w14:paraId="6CCF822B">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8.最终验收：待性能指标经验收合格后（附验收报告），中标供应商应与采购单位共同签署《厦门市政府采购验收报告》。</w:t>
            </w:r>
          </w:p>
          <w:p w14:paraId="0FC3FF97">
            <w:pPr>
              <w:rPr>
                <w:color w:val="auto"/>
                <w:highlight w:val="none"/>
              </w:rPr>
            </w:pPr>
            <w:r>
              <w:rPr>
                <w:rFonts w:hint="eastAsia" w:hAnsi="宋体"/>
                <w:color w:val="auto"/>
                <w:sz w:val="24"/>
                <w:szCs w:val="24"/>
                <w:highlight w:val="none"/>
              </w:rPr>
              <w:t>10.投标人不得虚报各项技术指标，中标产品若不能符合技术要求、招标文件及合同约定的，采购单位有权退货并单方解除合同，中标供应商除退还所有的货款外，还应向支付合同总价30%的违约金。</w:t>
            </w:r>
          </w:p>
          <w:p w14:paraId="734481C5">
            <w:pPr>
              <w:pStyle w:val="7"/>
              <w:spacing w:line="360" w:lineRule="auto"/>
              <w:ind w:firstLine="480" w:firstLineChars="200"/>
              <w:rPr>
                <w:rFonts w:hint="eastAsia" w:hAnsi="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4360CCE9">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DFAB811">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1EA98829">
            <w:pPr>
              <w:spacing w:line="360" w:lineRule="auto"/>
              <w:jc w:val="center"/>
              <w:rPr>
                <w:rFonts w:hint="eastAsia" w:ascii="宋体" w:hAnsi="宋体" w:cs="宋体"/>
                <w:color w:val="auto"/>
                <w:sz w:val="24"/>
                <w:szCs w:val="24"/>
                <w:highlight w:val="none"/>
              </w:rPr>
            </w:pPr>
          </w:p>
        </w:tc>
      </w:tr>
      <w:tr w14:paraId="291DE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70F5E938">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67A823F9">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54F71CE8">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1974D238">
            <w:pPr>
              <w:pStyle w:val="7"/>
              <w:ind w:firstLine="482" w:firstLineChars="200"/>
              <w:rPr>
                <w:rFonts w:hint="eastAsia" w:hAnsi="宋体"/>
                <w:b/>
                <w:color w:val="auto"/>
                <w:sz w:val="24"/>
                <w:szCs w:val="24"/>
                <w:highlight w:val="none"/>
              </w:rPr>
            </w:pPr>
            <w:r>
              <w:rPr>
                <w:rFonts w:hint="eastAsia" w:hAnsi="宋体"/>
                <w:b/>
                <w:color w:val="auto"/>
                <w:sz w:val="24"/>
                <w:szCs w:val="24"/>
                <w:highlight w:val="none"/>
              </w:rPr>
              <w:t>六、货物技术服务要求</w:t>
            </w:r>
          </w:p>
          <w:p w14:paraId="5FD12249">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4.投标人能长期提供良好的技术支持及备品备件的优惠供应。</w:t>
            </w:r>
          </w:p>
          <w:p w14:paraId="024A3FEE">
            <w:pPr>
              <w:pStyle w:val="7"/>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5.投标人如有其它更好的售后服务应在方案中书面声明。</w:t>
            </w:r>
          </w:p>
        </w:tc>
        <w:tc>
          <w:tcPr>
            <w:tcW w:w="779" w:type="dxa"/>
            <w:tcBorders>
              <w:top w:val="single" w:color="auto" w:sz="4" w:space="0"/>
              <w:left w:val="single" w:color="auto" w:sz="4" w:space="0"/>
              <w:bottom w:val="single" w:color="auto" w:sz="4" w:space="0"/>
              <w:right w:val="single" w:color="auto" w:sz="4" w:space="0"/>
            </w:tcBorders>
            <w:vAlign w:val="center"/>
          </w:tcPr>
          <w:p w14:paraId="3D829F07">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60F2884C">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1633EC99">
            <w:pPr>
              <w:spacing w:line="360" w:lineRule="auto"/>
              <w:jc w:val="center"/>
              <w:rPr>
                <w:rFonts w:hint="eastAsia" w:ascii="宋体" w:hAnsi="宋体" w:cs="宋体"/>
                <w:color w:val="auto"/>
                <w:sz w:val="24"/>
                <w:szCs w:val="24"/>
                <w:highlight w:val="none"/>
              </w:rPr>
            </w:pPr>
          </w:p>
        </w:tc>
      </w:tr>
      <w:tr w14:paraId="51754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AFF16FF">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5E4596F8">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7AE8A1EB">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7179684B">
            <w:pPr>
              <w:spacing w:line="360" w:lineRule="auto"/>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七、货物报价</w:t>
            </w:r>
          </w:p>
          <w:p w14:paraId="544E2456">
            <w:pPr>
              <w:spacing w:line="360" w:lineRule="auto"/>
              <w:ind w:firstLine="496"/>
              <w:rPr>
                <w:rFonts w:hint="eastAsia" w:hAnsi="宋体"/>
                <w:color w:val="auto"/>
                <w:sz w:val="24"/>
                <w:szCs w:val="24"/>
                <w:highlight w:val="none"/>
              </w:rPr>
            </w:pPr>
            <w:r>
              <w:rPr>
                <w:rFonts w:hint="eastAsia" w:ascii="宋体" w:hAnsi="宋体"/>
                <w:bCs/>
                <w:color w:val="auto"/>
                <w:spacing w:val="4"/>
                <w:sz w:val="24"/>
                <w:szCs w:val="24"/>
                <w:highlight w:val="none"/>
              </w:rPr>
              <w:t>3、</w:t>
            </w:r>
            <w:r>
              <w:rPr>
                <w:rFonts w:hint="eastAsia" w:ascii="宋体" w:hAnsi="宋体"/>
                <w:bCs/>
                <w:color w:val="auto"/>
                <w:sz w:val="24"/>
                <w:szCs w:val="24"/>
                <w:highlight w:val="none"/>
              </w:rPr>
              <w:t>报价应分单价、小计、总价。</w:t>
            </w:r>
          </w:p>
        </w:tc>
        <w:tc>
          <w:tcPr>
            <w:tcW w:w="779" w:type="dxa"/>
            <w:tcBorders>
              <w:top w:val="single" w:color="auto" w:sz="4" w:space="0"/>
              <w:left w:val="single" w:color="auto" w:sz="4" w:space="0"/>
              <w:bottom w:val="single" w:color="auto" w:sz="4" w:space="0"/>
              <w:right w:val="single" w:color="auto" w:sz="4" w:space="0"/>
            </w:tcBorders>
            <w:vAlign w:val="center"/>
          </w:tcPr>
          <w:p w14:paraId="015A84C8">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57B50BD7">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70CDF1CF">
            <w:pPr>
              <w:spacing w:line="360" w:lineRule="auto"/>
              <w:jc w:val="center"/>
              <w:rPr>
                <w:rFonts w:hint="eastAsia" w:ascii="宋体" w:hAnsi="宋体" w:cs="宋体"/>
                <w:color w:val="auto"/>
                <w:sz w:val="24"/>
                <w:szCs w:val="24"/>
                <w:highlight w:val="none"/>
              </w:rPr>
            </w:pPr>
          </w:p>
        </w:tc>
      </w:tr>
      <w:tr w14:paraId="4B1E3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573C5DBA">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0AA0A169">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2EDC46B6">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01F7D1C3">
            <w:pPr>
              <w:adjustRightInd w:val="0"/>
              <w:snapToGrid w:val="0"/>
              <w:spacing w:line="360" w:lineRule="auto"/>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八、付款方式</w:t>
            </w:r>
          </w:p>
          <w:p w14:paraId="6C27C6D0">
            <w:pPr>
              <w:adjustRightInd w:val="0"/>
              <w:snapToGrid w:val="0"/>
              <w:spacing w:line="360" w:lineRule="auto"/>
              <w:ind w:firstLine="482"/>
              <w:rPr>
                <w:rFonts w:hint="eastAsia" w:hAnsi="宋体"/>
                <w:color w:val="auto"/>
                <w:sz w:val="24"/>
                <w:szCs w:val="24"/>
                <w:highlight w:val="none"/>
              </w:rPr>
            </w:pPr>
            <w:r>
              <w:rPr>
                <w:rFonts w:hint="eastAsia" w:ascii="宋体" w:hAnsi="宋体"/>
                <w:b/>
                <w:bCs/>
                <w:color w:val="auto"/>
                <w:sz w:val="24"/>
                <w:szCs w:val="24"/>
                <w:highlight w:val="none"/>
                <w:lang w:bidi="ar"/>
              </w:rPr>
              <w:t>具体</w:t>
            </w:r>
            <w:r>
              <w:rPr>
                <w:rFonts w:hint="eastAsia" w:ascii="宋体" w:hAnsi="宋体"/>
                <w:b/>
                <w:bCs/>
                <w:color w:val="auto"/>
                <w:sz w:val="24"/>
                <w:szCs w:val="24"/>
                <w:highlight w:val="none"/>
              </w:rPr>
              <w:t>以合同签订为准“详见：第四章  政府采购合同”。</w:t>
            </w:r>
          </w:p>
        </w:tc>
        <w:tc>
          <w:tcPr>
            <w:tcW w:w="779" w:type="dxa"/>
            <w:tcBorders>
              <w:top w:val="single" w:color="auto" w:sz="4" w:space="0"/>
              <w:left w:val="single" w:color="auto" w:sz="4" w:space="0"/>
              <w:bottom w:val="single" w:color="auto" w:sz="4" w:space="0"/>
              <w:right w:val="single" w:color="auto" w:sz="4" w:space="0"/>
            </w:tcBorders>
            <w:vAlign w:val="center"/>
          </w:tcPr>
          <w:p w14:paraId="7DFB7972">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2502E460">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2E7F0E4B">
            <w:pPr>
              <w:spacing w:line="360" w:lineRule="auto"/>
              <w:jc w:val="center"/>
              <w:rPr>
                <w:rFonts w:hint="eastAsia" w:ascii="宋体" w:hAnsi="宋体" w:cs="宋体"/>
                <w:color w:val="auto"/>
                <w:sz w:val="24"/>
                <w:szCs w:val="24"/>
                <w:highlight w:val="none"/>
              </w:rPr>
            </w:pPr>
          </w:p>
        </w:tc>
      </w:tr>
      <w:tr w14:paraId="008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346CEA6F">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2614CA83">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1A11A5BB">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2D002BE4">
            <w:pPr>
              <w:spacing w:line="360" w:lineRule="auto"/>
              <w:ind w:firstLine="472" w:firstLineChars="196"/>
              <w:rPr>
                <w:rFonts w:hint="eastAsia" w:ascii="宋体" w:hAnsi="宋体"/>
                <w:b/>
                <w:color w:val="auto"/>
                <w:sz w:val="24"/>
                <w:szCs w:val="24"/>
                <w:highlight w:val="none"/>
              </w:rPr>
            </w:pPr>
            <w:r>
              <w:rPr>
                <w:rFonts w:hint="eastAsia" w:ascii="宋体" w:hAnsi="宋体"/>
                <w:b/>
                <w:color w:val="auto"/>
                <w:sz w:val="24"/>
                <w:szCs w:val="24"/>
                <w:highlight w:val="none"/>
              </w:rPr>
              <w:t>九、履约保证金</w:t>
            </w:r>
          </w:p>
          <w:p w14:paraId="02039230">
            <w:pPr>
              <w:spacing w:line="360" w:lineRule="auto"/>
              <w:ind w:firstLine="470" w:firstLineChars="196"/>
              <w:rPr>
                <w:rFonts w:hint="eastAsia" w:hAnsi="宋体"/>
                <w:color w:val="auto"/>
                <w:sz w:val="24"/>
                <w:szCs w:val="24"/>
                <w:highlight w:val="none"/>
              </w:rPr>
            </w:pPr>
            <w:r>
              <w:rPr>
                <w:rFonts w:hint="eastAsia" w:ascii="宋体" w:hAnsi="宋体"/>
                <w:color w:val="auto"/>
                <w:sz w:val="24"/>
                <w:szCs w:val="24"/>
                <w:highlight w:val="none"/>
              </w:rPr>
              <w:t>合同签订后7个工作日内，中标供应商向采购人支付合同总价的3%作为项目履约保证金，履约保证金可以转账、支票、汇票、本票或金融机构、担保机构出具的保函等形式交纳，且在合同签订时一并提交，质量保证期届满且无合同纠纷后7个工作日内，向中标/成交供应商无息返还合同总价的3%履约保证金。【本项目属于专门面向小微企业采购的项目，3%属于优惠后的履约保证金比例】</w:t>
            </w:r>
          </w:p>
        </w:tc>
        <w:tc>
          <w:tcPr>
            <w:tcW w:w="779" w:type="dxa"/>
            <w:tcBorders>
              <w:top w:val="single" w:color="auto" w:sz="4" w:space="0"/>
              <w:left w:val="single" w:color="auto" w:sz="4" w:space="0"/>
              <w:bottom w:val="single" w:color="auto" w:sz="4" w:space="0"/>
              <w:right w:val="single" w:color="auto" w:sz="4" w:space="0"/>
            </w:tcBorders>
            <w:vAlign w:val="center"/>
          </w:tcPr>
          <w:p w14:paraId="5F347DC8">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36DD4898">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684402C9">
            <w:pPr>
              <w:spacing w:line="360" w:lineRule="auto"/>
              <w:jc w:val="center"/>
              <w:rPr>
                <w:rFonts w:hint="eastAsia" w:ascii="宋体" w:hAnsi="宋体" w:cs="宋体"/>
                <w:color w:val="auto"/>
                <w:sz w:val="24"/>
                <w:szCs w:val="24"/>
                <w:highlight w:val="none"/>
              </w:rPr>
            </w:pPr>
          </w:p>
        </w:tc>
      </w:tr>
      <w:tr w14:paraId="74CC1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537D3257">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6EE4DF2F">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3AB6B180">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4F3BA7A7">
            <w:pPr>
              <w:spacing w:line="360" w:lineRule="auto"/>
              <w:ind w:firstLine="378"/>
              <w:rPr>
                <w:rFonts w:hint="eastAsia" w:ascii="宋体" w:hAnsi="宋体"/>
                <w:b/>
                <w:color w:val="auto"/>
                <w:sz w:val="24"/>
                <w:szCs w:val="24"/>
                <w:highlight w:val="none"/>
              </w:rPr>
            </w:pPr>
            <w:r>
              <w:rPr>
                <w:rFonts w:hint="eastAsia" w:ascii="宋体" w:hAnsi="宋体"/>
                <w:b/>
                <w:color w:val="auto"/>
                <w:sz w:val="24"/>
                <w:szCs w:val="24"/>
                <w:highlight w:val="none"/>
              </w:rPr>
              <w:t>十、合同签订</w:t>
            </w:r>
          </w:p>
          <w:p w14:paraId="3130F179">
            <w:pPr>
              <w:spacing w:line="360" w:lineRule="auto"/>
              <w:ind w:firstLine="378"/>
              <w:rPr>
                <w:rFonts w:hint="eastAsia" w:ascii="宋体" w:hAnsi="宋体"/>
                <w:color w:val="auto"/>
                <w:sz w:val="24"/>
                <w:szCs w:val="24"/>
                <w:highlight w:val="none"/>
              </w:rPr>
            </w:pPr>
            <w:r>
              <w:rPr>
                <w:rFonts w:hint="eastAsia" w:ascii="宋体" w:hAnsi="宋体"/>
                <w:color w:val="auto"/>
                <w:sz w:val="24"/>
                <w:szCs w:val="24"/>
                <w:highlight w:val="none"/>
              </w:rPr>
              <w:t>1.中标供应商接到中标通知书后20个日历日内，持中标通知书与采购单位签订合同。</w:t>
            </w:r>
          </w:p>
          <w:p w14:paraId="394DECC8">
            <w:pPr>
              <w:spacing w:line="360" w:lineRule="auto"/>
              <w:ind w:firstLine="378"/>
              <w:rPr>
                <w:rFonts w:hint="eastAsia" w:ascii="宋体" w:hAnsi="宋体"/>
                <w:color w:val="auto"/>
                <w:sz w:val="24"/>
                <w:szCs w:val="24"/>
                <w:highlight w:val="none"/>
              </w:rPr>
            </w:pPr>
            <w:r>
              <w:rPr>
                <w:rFonts w:hint="eastAsia" w:ascii="宋体" w:hAnsi="宋体"/>
                <w:color w:val="auto"/>
                <w:sz w:val="24"/>
                <w:szCs w:val="24"/>
                <w:highlight w:val="none"/>
              </w:rPr>
              <w:t>2.招标文件、投标文件均作为合同订立的基础，为合同组成部分。</w:t>
            </w:r>
          </w:p>
        </w:tc>
        <w:tc>
          <w:tcPr>
            <w:tcW w:w="779" w:type="dxa"/>
            <w:tcBorders>
              <w:top w:val="single" w:color="auto" w:sz="4" w:space="0"/>
              <w:left w:val="single" w:color="auto" w:sz="4" w:space="0"/>
              <w:bottom w:val="single" w:color="auto" w:sz="4" w:space="0"/>
              <w:right w:val="single" w:color="auto" w:sz="4" w:space="0"/>
            </w:tcBorders>
            <w:vAlign w:val="center"/>
          </w:tcPr>
          <w:p w14:paraId="5403E364">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63C5A389">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5CFFFDD">
            <w:pPr>
              <w:spacing w:line="360" w:lineRule="auto"/>
              <w:jc w:val="center"/>
              <w:rPr>
                <w:rFonts w:hint="eastAsia" w:ascii="宋体" w:hAnsi="宋体" w:cs="宋体"/>
                <w:color w:val="auto"/>
                <w:sz w:val="24"/>
                <w:szCs w:val="24"/>
                <w:highlight w:val="none"/>
              </w:rPr>
            </w:pPr>
          </w:p>
        </w:tc>
      </w:tr>
      <w:tr w14:paraId="4823B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1C8F3AA">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0106622C">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595C9DF8">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6CB78E59">
            <w:pPr>
              <w:widowControl/>
              <w:spacing w:line="360" w:lineRule="auto"/>
              <w:ind w:firstLine="482" w:firstLineChars="200"/>
              <w:jc w:val="left"/>
              <w:rPr>
                <w:rFonts w:hint="eastAsia" w:ascii="宋体" w:hAnsi="宋体"/>
                <w:b/>
                <w:color w:val="auto"/>
                <w:sz w:val="24"/>
                <w:szCs w:val="24"/>
                <w:highlight w:val="none"/>
              </w:rPr>
            </w:pPr>
            <w:r>
              <w:rPr>
                <w:rFonts w:hint="eastAsia" w:ascii="宋体" w:hAnsi="宋体"/>
                <w:b/>
                <w:color w:val="auto"/>
                <w:sz w:val="24"/>
                <w:szCs w:val="24"/>
                <w:highlight w:val="none"/>
              </w:rPr>
              <w:t>十一、踏勘内容及要求</w:t>
            </w:r>
          </w:p>
          <w:p w14:paraId="0EF730C8">
            <w:pPr>
              <w:spacing w:line="360" w:lineRule="auto"/>
              <w:ind w:firstLine="480" w:firstLineChars="200"/>
              <w:rPr>
                <w:rStyle w:val="21"/>
                <w:rFonts w:hint="default" w:ascii="Calibri" w:hAnsi="Calibri"/>
                <w:bCs/>
                <w:color w:val="auto"/>
                <w:highlight w:val="none"/>
              </w:rPr>
            </w:pPr>
            <w:r>
              <w:rPr>
                <w:rStyle w:val="21"/>
                <w:rFonts w:hint="default" w:ascii="Calibri" w:hAnsi="Calibri"/>
                <w:bCs/>
                <w:color w:val="auto"/>
                <w:highlight w:val="none"/>
              </w:rPr>
              <w:t>1.本项目采购人不组织现场踏勘，如有需要自行踏勘。地点为：</w:t>
            </w:r>
            <w:r>
              <w:rPr>
                <w:rStyle w:val="21"/>
                <w:rFonts w:ascii="Calibri" w:hAnsi="Calibri"/>
                <w:bCs/>
                <w:color w:val="auto"/>
                <w:highlight w:val="none"/>
              </w:rPr>
              <w:t>厦门理工学院六期学生公寓</w:t>
            </w:r>
            <w:r>
              <w:rPr>
                <w:rStyle w:val="21"/>
                <w:rFonts w:hint="default" w:ascii="Calibri" w:hAnsi="Calibri"/>
                <w:bCs/>
                <w:color w:val="auto"/>
                <w:highlight w:val="none"/>
              </w:rPr>
              <w:t xml:space="preserve"> 。现场踏勘联系人：</w:t>
            </w:r>
            <w:r>
              <w:rPr>
                <w:rStyle w:val="21"/>
                <w:rFonts w:ascii="Calibri" w:hAnsi="Calibri"/>
                <w:bCs/>
                <w:color w:val="auto"/>
                <w:highlight w:val="none"/>
              </w:rPr>
              <w:t>林秋云老师05926291158</w:t>
            </w:r>
            <w:r>
              <w:rPr>
                <w:rStyle w:val="21"/>
                <w:rFonts w:hint="default" w:ascii="Calibri" w:hAnsi="Calibri"/>
                <w:bCs/>
                <w:color w:val="auto"/>
                <w:highlight w:val="none"/>
              </w:rPr>
              <w:t>。</w:t>
            </w:r>
          </w:p>
          <w:p w14:paraId="3C2CB7BC">
            <w:pPr>
              <w:spacing w:line="360" w:lineRule="auto"/>
              <w:ind w:firstLine="480" w:firstLineChars="200"/>
              <w:rPr>
                <w:rFonts w:hint="eastAsia" w:ascii="宋体" w:hAnsi="宋体"/>
                <w:color w:val="auto"/>
                <w:sz w:val="24"/>
                <w:szCs w:val="24"/>
                <w:highlight w:val="none"/>
              </w:rPr>
            </w:pPr>
            <w:r>
              <w:rPr>
                <w:rStyle w:val="21"/>
                <w:rFonts w:hint="default" w:ascii="Calibri" w:hAnsi="Calibri"/>
                <w:color w:val="auto"/>
                <w:highlight w:val="none"/>
              </w:rPr>
              <w:t>2.投标人及其人员经过现场管理人员的允许，可以踏勘为目的进入采购人的项目现场，但投标人及其人员不得因此使采购人及其人员承担有关的责任和蒙受损失。投标人并应对由此次踏勘现场而造成的死亡、人身伤害、财产损失、损害以及任何其它损失、损害和引起的费用和开支承担责任。</w:t>
            </w:r>
          </w:p>
        </w:tc>
        <w:tc>
          <w:tcPr>
            <w:tcW w:w="779" w:type="dxa"/>
            <w:tcBorders>
              <w:top w:val="single" w:color="auto" w:sz="4" w:space="0"/>
              <w:left w:val="single" w:color="auto" w:sz="4" w:space="0"/>
              <w:bottom w:val="single" w:color="auto" w:sz="4" w:space="0"/>
              <w:right w:val="single" w:color="auto" w:sz="4" w:space="0"/>
            </w:tcBorders>
            <w:vAlign w:val="center"/>
          </w:tcPr>
          <w:p w14:paraId="567EF4C5">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28AA4D77">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74E20684">
            <w:pPr>
              <w:spacing w:line="360" w:lineRule="auto"/>
              <w:jc w:val="center"/>
              <w:rPr>
                <w:rFonts w:hint="eastAsia" w:ascii="宋体" w:hAnsi="宋体" w:cs="宋体"/>
                <w:color w:val="auto"/>
                <w:sz w:val="24"/>
                <w:szCs w:val="24"/>
                <w:highlight w:val="none"/>
              </w:rPr>
            </w:pPr>
          </w:p>
        </w:tc>
      </w:tr>
      <w:tr w14:paraId="10C14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5662D768">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53407319">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42C89D35">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4AA88016">
            <w:pPr>
              <w:widowControl/>
              <w:spacing w:line="360" w:lineRule="auto"/>
              <w:ind w:firstLine="482" w:firstLineChars="200"/>
              <w:jc w:val="left"/>
              <w:rPr>
                <w:rFonts w:hint="eastAsia" w:ascii="宋体" w:hAnsi="宋体"/>
                <w:color w:val="auto"/>
                <w:sz w:val="24"/>
                <w:szCs w:val="24"/>
                <w:highlight w:val="none"/>
              </w:rPr>
            </w:pPr>
            <w:r>
              <w:rPr>
                <w:rFonts w:hint="eastAsia" w:ascii="宋体" w:hAnsi="宋体"/>
                <w:b/>
                <w:color w:val="auto"/>
                <w:sz w:val="24"/>
                <w:szCs w:val="24"/>
                <w:highlight w:val="none"/>
              </w:rPr>
              <w:t xml:space="preserve">十二、其他事项 </w:t>
            </w:r>
          </w:p>
          <w:p w14:paraId="7A0EE53D">
            <w:pPr>
              <w:spacing w:line="360" w:lineRule="auto"/>
              <w:ind w:firstLine="482"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rPr>
              <w:t>2</w:t>
            </w:r>
            <w:r>
              <w:rPr>
                <w:rFonts w:hint="eastAsia" w:asciiTheme="minorEastAsia" w:hAnsiTheme="minorEastAsia" w:eastAsiaTheme="minorEastAsia" w:cstheme="minorEastAsia"/>
                <w:color w:val="auto"/>
                <w:sz w:val="24"/>
                <w:szCs w:val="24"/>
                <w:highlight w:val="none"/>
              </w:rPr>
              <w:t>.投标人提供公司的基本情况、业绩、主要技术人员及资信证明。</w:t>
            </w:r>
          </w:p>
          <w:p w14:paraId="41CAAB30">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3．投标人在投标文件中详细说明所投货物的技术水平、性能等(材质构成、内外部结构、五金配件、制造工艺、生产流程、加工设备及其它)。</w:t>
            </w:r>
          </w:p>
          <w:p w14:paraId="7A1C7BCA">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4．附件及零配件：投标人应列出备品/备件及附件的清单及价格。</w:t>
            </w:r>
          </w:p>
          <w:p w14:paraId="2384F670">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5．投标人认为有必要提供的其它技术资料。</w:t>
            </w:r>
          </w:p>
          <w:p w14:paraId="71ECE71D">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6．投标人若有其它方面的特殊功能及优惠条件，可在投标文件中注明。</w:t>
            </w:r>
          </w:p>
          <w:p w14:paraId="514180CD">
            <w:pPr>
              <w:spacing w:line="360" w:lineRule="auto"/>
              <w:ind w:firstLine="480" w:firstLineChars="200"/>
              <w:rPr>
                <w:rFonts w:hint="eastAsia" w:asciiTheme="minorEastAsia" w:hAnsiTheme="minorEastAsia" w:eastAsiaTheme="minorEastAsia" w:cstheme="minorEastAsia"/>
                <w:bCs w:val="0"/>
                <w:color w:val="auto"/>
                <w:sz w:val="24"/>
                <w:szCs w:val="24"/>
                <w:highlight w:val="none"/>
              </w:rPr>
            </w:pPr>
            <w:r>
              <w:rPr>
                <w:rFonts w:hint="eastAsia" w:asciiTheme="minorEastAsia" w:hAnsiTheme="minorEastAsia" w:eastAsiaTheme="minorEastAsia" w:cstheme="minorEastAsia"/>
                <w:bCs/>
                <w:color w:val="auto"/>
                <w:sz w:val="24"/>
                <w:szCs w:val="24"/>
                <w:highlight w:val="none"/>
              </w:rPr>
              <w:t>7</w:t>
            </w:r>
            <w:r>
              <w:rPr>
                <w:rFonts w:hint="eastAsia" w:asciiTheme="minorEastAsia" w:hAnsiTheme="minorEastAsia" w:eastAsiaTheme="minorEastAsia" w:cstheme="minorEastAsia"/>
                <w:color w:val="auto"/>
                <w:sz w:val="24"/>
                <w:szCs w:val="24"/>
                <w:highlight w:val="none"/>
              </w:rPr>
              <w:t>．如</w:t>
            </w:r>
            <w:r>
              <w:rPr>
                <w:rFonts w:hint="eastAsia" w:asciiTheme="minorEastAsia" w:hAnsiTheme="minorEastAsia" w:eastAsiaTheme="minorEastAsia" w:cstheme="minorEastAsia"/>
                <w:bCs/>
                <w:color w:val="auto"/>
                <w:sz w:val="24"/>
                <w:szCs w:val="24"/>
                <w:highlight w:val="none"/>
              </w:rPr>
              <w:t>采购单位对采购数量有所调整，将按中标单价调整合同总价，中标供应商不得有异议。如款式及型号有所变动必须经采购单位书面确认，涉及单价变动的以中标单价为基准，由采购单位和中标供应商</w:t>
            </w:r>
            <w:r>
              <w:rPr>
                <w:rFonts w:hint="eastAsia" w:asciiTheme="minorEastAsia" w:hAnsiTheme="minorEastAsia" w:eastAsiaTheme="minorEastAsia" w:cstheme="minorEastAsia"/>
                <w:bCs w:val="0"/>
                <w:color w:val="auto"/>
                <w:sz w:val="24"/>
                <w:szCs w:val="24"/>
                <w:highlight w:val="none"/>
              </w:rPr>
              <w:t>协商确定。</w:t>
            </w:r>
          </w:p>
          <w:p w14:paraId="72301D8D">
            <w:pPr>
              <w:numPr>
                <w:ilvl w:val="-1"/>
                <w:numId w:val="0"/>
              </w:numPr>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8、</w:t>
            </w:r>
            <w:r>
              <w:rPr>
                <w:rFonts w:hint="eastAsia" w:asciiTheme="minorEastAsia" w:hAnsiTheme="minorEastAsia" w:eastAsiaTheme="minorEastAsia" w:cstheme="minorEastAsia"/>
                <w:color w:val="auto"/>
                <w:sz w:val="24"/>
                <w:szCs w:val="24"/>
                <w:highlight w:val="none"/>
              </w:rPr>
              <w:t>投标人具</w:t>
            </w:r>
            <w:r>
              <w:rPr>
                <w:rFonts w:hint="eastAsia" w:asciiTheme="minorEastAsia" w:hAnsiTheme="minorEastAsia" w:eastAsiaTheme="minorEastAsia" w:cstheme="minorEastAsia"/>
                <w:color w:val="auto"/>
                <w:kern w:val="2"/>
                <w:sz w:val="24"/>
                <w:szCs w:val="24"/>
                <w:highlight w:val="none"/>
              </w:rPr>
              <w:t>有有效期内的</w:t>
            </w:r>
            <w:r>
              <w:rPr>
                <w:rFonts w:hint="eastAsia" w:asciiTheme="minorEastAsia" w:hAnsiTheme="minorEastAsia" w:eastAsiaTheme="minorEastAsia" w:cstheme="minorEastAsia"/>
                <w:color w:val="auto"/>
                <w:sz w:val="24"/>
                <w:szCs w:val="24"/>
                <w:highlight w:val="none"/>
              </w:rPr>
              <w:t>质量管理体系认证、环境管理体系认证、职业健康安全管理体系认证</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五星级《售后服务认证证书》，所提供的证书覆盖范围包含：</w:t>
            </w:r>
            <w:r>
              <w:rPr>
                <w:rFonts w:hint="eastAsia" w:asciiTheme="minorEastAsia" w:hAnsiTheme="minorEastAsia" w:eastAsiaTheme="minorEastAsia" w:cstheme="minorEastAsia"/>
                <w:color w:val="auto"/>
                <w:sz w:val="24"/>
                <w:szCs w:val="24"/>
                <w:highlight w:val="none"/>
                <w:lang w:val="en-US" w:eastAsia="zh-CN"/>
              </w:rPr>
              <w:t>公寓家具（例如：</w:t>
            </w:r>
            <w:r>
              <w:rPr>
                <w:rFonts w:hint="eastAsia" w:asciiTheme="minorEastAsia" w:hAnsiTheme="minorEastAsia" w:eastAsiaTheme="minorEastAsia" w:cstheme="minorEastAsia"/>
                <w:color w:val="auto"/>
                <w:sz w:val="24"/>
                <w:szCs w:val="24"/>
                <w:highlight w:val="none"/>
              </w:rPr>
              <w:t>学生公寓家具</w:t>
            </w:r>
            <w:r>
              <w:rPr>
                <w:rFonts w:hint="eastAsia" w:asciiTheme="minorEastAsia" w:hAnsiTheme="minorEastAsia" w:eastAsiaTheme="minorEastAsia" w:cstheme="minorEastAsia"/>
                <w:color w:val="auto"/>
                <w:sz w:val="24"/>
                <w:szCs w:val="24"/>
                <w:highlight w:val="none"/>
                <w:lang w:val="en-US" w:eastAsia="zh-CN"/>
              </w:rPr>
              <w:t>或</w:t>
            </w:r>
            <w:r>
              <w:rPr>
                <w:rFonts w:hint="eastAsia" w:asciiTheme="minorEastAsia" w:hAnsiTheme="minorEastAsia" w:eastAsiaTheme="minorEastAsia" w:cstheme="minorEastAsia"/>
                <w:color w:val="auto"/>
                <w:sz w:val="24"/>
                <w:szCs w:val="24"/>
                <w:highlight w:val="none"/>
              </w:rPr>
              <w:t>组合式公寓家具</w:t>
            </w:r>
            <w:r>
              <w:rPr>
                <w:rFonts w:hint="eastAsia" w:asciiTheme="minorEastAsia" w:hAnsiTheme="minorEastAsia" w:eastAsiaTheme="minorEastAsia" w:cstheme="minorEastAsia"/>
                <w:color w:val="auto"/>
                <w:sz w:val="24"/>
                <w:szCs w:val="24"/>
                <w:highlight w:val="none"/>
                <w:lang w:eastAsia="zh-CN"/>
              </w:rPr>
              <w:t>等</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中国绿色产品认证证书，产品标准/技术要求： GB/T 35607-2024，且证书产品名称包含：木家具（人造板家具）</w:t>
            </w:r>
            <w:r>
              <w:rPr>
                <w:rFonts w:hint="eastAsia" w:asciiTheme="minorEastAsia" w:hAnsiTheme="minorEastAsia" w:eastAsiaTheme="minorEastAsia" w:cstheme="minorEastAsia"/>
                <w:color w:val="auto"/>
                <w:sz w:val="24"/>
                <w:szCs w:val="24"/>
                <w:highlight w:val="none"/>
                <w:lang w:val="en-US" w:eastAsia="zh-CN"/>
              </w:rPr>
              <w:t>或</w:t>
            </w:r>
            <w:r>
              <w:rPr>
                <w:rFonts w:hint="eastAsia" w:asciiTheme="minorEastAsia" w:hAnsiTheme="minorEastAsia" w:eastAsiaTheme="minorEastAsia" w:cstheme="minorEastAsia"/>
                <w:color w:val="auto"/>
                <w:sz w:val="24"/>
                <w:szCs w:val="24"/>
                <w:highlight w:val="none"/>
              </w:rPr>
              <w:t>金属家具</w:t>
            </w:r>
            <w:r>
              <w:rPr>
                <w:rFonts w:hint="eastAsia" w:asciiTheme="minorEastAsia" w:hAnsiTheme="minorEastAsia" w:eastAsiaTheme="minorEastAsia" w:cstheme="minorEastAsia"/>
                <w:color w:val="auto"/>
                <w:sz w:val="24"/>
                <w:szCs w:val="24"/>
                <w:highlight w:val="none"/>
                <w:lang w:eastAsia="zh-CN"/>
              </w:rPr>
              <w:t>。</w:t>
            </w:r>
          </w:p>
          <w:p w14:paraId="616A4A6C">
            <w:pPr>
              <w:numPr>
                <w:ilvl w:val="-1"/>
                <w:numId w:val="0"/>
              </w:numPr>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9、</w:t>
            </w:r>
            <w:r>
              <w:rPr>
                <w:rFonts w:hint="eastAsia" w:asciiTheme="minorEastAsia" w:hAnsiTheme="minorEastAsia" w:eastAsiaTheme="minorEastAsia" w:cstheme="minorEastAsia"/>
                <w:color w:val="auto"/>
                <w:sz w:val="24"/>
                <w:szCs w:val="24"/>
                <w:highlight w:val="none"/>
              </w:rPr>
              <w:t>投标人提供2022年1月1日至</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rPr>
              <w:t>截止的同类项目</w:t>
            </w:r>
            <w:r>
              <w:rPr>
                <w:rFonts w:hint="eastAsia" w:asciiTheme="minorEastAsia" w:hAnsiTheme="minorEastAsia" w:eastAsiaTheme="minorEastAsia" w:cstheme="minorEastAsia"/>
                <w:color w:val="auto"/>
                <w:kern w:val="2"/>
                <w:sz w:val="24"/>
                <w:szCs w:val="24"/>
                <w:highlight w:val="none"/>
                <w:lang w:bidi="ar"/>
              </w:rPr>
              <w:t>（学生宿舍用家具，至少包括组合式公寓家具或公寓组合床或公寓床）</w:t>
            </w:r>
            <w:r>
              <w:rPr>
                <w:rFonts w:hint="eastAsia" w:asciiTheme="minorEastAsia" w:hAnsiTheme="minorEastAsia" w:eastAsiaTheme="minorEastAsia" w:cstheme="minorEastAsia"/>
                <w:color w:val="auto"/>
                <w:sz w:val="24"/>
                <w:szCs w:val="24"/>
                <w:highlight w:val="none"/>
              </w:rPr>
              <w:t>的业绩</w:t>
            </w:r>
            <w:r>
              <w:rPr>
                <w:rFonts w:hint="eastAsia" w:asciiTheme="minorEastAsia" w:hAnsiTheme="minorEastAsia" w:eastAsiaTheme="minorEastAsia" w:cstheme="minorEastAsia"/>
                <w:color w:val="auto"/>
                <w:sz w:val="24"/>
                <w:szCs w:val="24"/>
                <w:highlight w:val="none"/>
                <w:lang w:eastAsia="zh-CN"/>
              </w:rPr>
              <w:t>。</w:t>
            </w:r>
          </w:p>
          <w:p w14:paraId="439D4B60">
            <w:pPr>
              <w:numPr>
                <w:ilvl w:val="-1"/>
                <w:numId w:val="0"/>
              </w:numPr>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10、投标人</w:t>
            </w:r>
            <w:r>
              <w:rPr>
                <w:rFonts w:hint="eastAsia" w:asciiTheme="minorEastAsia" w:hAnsiTheme="minorEastAsia" w:eastAsiaTheme="minorEastAsia" w:cstheme="minorEastAsia"/>
                <w:color w:val="auto"/>
                <w:sz w:val="24"/>
                <w:szCs w:val="24"/>
                <w:highlight w:val="none"/>
              </w:rPr>
              <w:t>提供的202</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年1月1日至</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rPr>
              <w:t>截止（以合同签订时间为准）同类项目</w:t>
            </w:r>
            <w:r>
              <w:rPr>
                <w:rFonts w:hint="eastAsia" w:asciiTheme="minorEastAsia" w:hAnsiTheme="minorEastAsia" w:eastAsiaTheme="minorEastAsia" w:cstheme="minorEastAsia"/>
                <w:color w:val="auto"/>
                <w:kern w:val="2"/>
                <w:sz w:val="24"/>
                <w:szCs w:val="24"/>
                <w:highlight w:val="none"/>
                <w:lang w:bidi="ar"/>
              </w:rPr>
              <w:t>（学生宿舍用家具，至少包括组合式公寓家具或公寓组合床或公寓床）</w:t>
            </w:r>
            <w:r>
              <w:rPr>
                <w:rFonts w:hint="eastAsia" w:asciiTheme="minorEastAsia" w:hAnsiTheme="minorEastAsia" w:eastAsiaTheme="minorEastAsia" w:cstheme="minorEastAsia"/>
                <w:color w:val="auto"/>
                <w:sz w:val="24"/>
                <w:szCs w:val="24"/>
                <w:highlight w:val="none"/>
              </w:rPr>
              <w:t>业绩</w:t>
            </w:r>
          </w:p>
          <w:p w14:paraId="2149BCA6">
            <w:pPr>
              <w:spacing w:line="360" w:lineRule="auto"/>
              <w:ind w:firstLine="480" w:firstLineChars="200"/>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Cs/>
                <w:color w:val="auto"/>
                <w:sz w:val="24"/>
                <w:szCs w:val="24"/>
                <w:highlight w:val="none"/>
                <w:lang w:val="en-US" w:eastAsia="zh-CN"/>
              </w:rPr>
              <w:t>11</w:t>
            </w:r>
            <w:r>
              <w:rPr>
                <w:rFonts w:hint="eastAsia" w:asciiTheme="minorEastAsia" w:hAnsiTheme="minorEastAsia" w:eastAsiaTheme="minorEastAsia" w:cstheme="minorEastAsia"/>
                <w:b/>
                <w:bCs/>
                <w:color w:val="auto"/>
                <w:sz w:val="24"/>
                <w:szCs w:val="24"/>
                <w:highlight w:val="none"/>
              </w:rPr>
              <w:t>.核心产品：本次采购项目的核心产品为“组合式公寓床-木家具”。</w:t>
            </w:r>
          </w:p>
          <w:p w14:paraId="074B944A">
            <w:pPr>
              <w:rPr>
                <w:color w:val="auto"/>
                <w:highlight w:val="none"/>
              </w:rPr>
            </w:pPr>
            <w:r>
              <w:rPr>
                <w:rFonts w:hint="eastAsia" w:asciiTheme="minorEastAsia" w:hAnsiTheme="minorEastAsia" w:eastAsiaTheme="minorEastAsia" w:cstheme="minorEastAsia"/>
                <w:color w:val="auto"/>
                <w:sz w:val="24"/>
                <w:szCs w:val="24"/>
                <w:highlight w:val="none"/>
              </w:rPr>
              <w:t>注：1、同一品牌认定标准：如果有多家投标人所投核心产品为同一品牌，只能视为一家，此外其他情形均不认定为同品牌。（备注：核心产品中只要有一个货物同品牌，就必须认定为同品牌）。</w:t>
            </w:r>
          </w:p>
          <w:p w14:paraId="170A1C5E">
            <w:pPr>
              <w:rPr>
                <w:color w:val="auto"/>
                <w:highlight w:val="none"/>
              </w:rPr>
            </w:pPr>
          </w:p>
          <w:p w14:paraId="1721193F">
            <w:pPr>
              <w:rPr>
                <w:color w:val="auto"/>
                <w:highlight w:val="none"/>
              </w:rPr>
            </w:pPr>
          </w:p>
          <w:p w14:paraId="0A6B1E9C">
            <w:pPr>
              <w:rPr>
                <w:color w:val="auto"/>
                <w:highlight w:val="none"/>
              </w:rPr>
            </w:pPr>
          </w:p>
          <w:p w14:paraId="25FF7D17">
            <w:pPr>
              <w:rPr>
                <w:color w:val="auto"/>
                <w:highlight w:val="none"/>
              </w:rPr>
            </w:pPr>
          </w:p>
          <w:p w14:paraId="18E08B35">
            <w:pPr>
              <w:rPr>
                <w:color w:val="auto"/>
                <w:highlight w:val="none"/>
              </w:rPr>
            </w:pPr>
          </w:p>
          <w:p w14:paraId="428778DA">
            <w:pPr>
              <w:rPr>
                <w:color w:val="auto"/>
                <w:highlight w:val="none"/>
              </w:rPr>
            </w:pPr>
          </w:p>
          <w:p w14:paraId="2E9334F5">
            <w:pPr>
              <w:spacing w:line="360" w:lineRule="auto"/>
              <w:ind w:firstLine="480" w:firstLineChars="200"/>
              <w:rPr>
                <w:rFonts w:hint="eastAsia" w:ascii="宋体" w:hAnsi="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14:paraId="197B2CAC">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02C1D2C6">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4C707111">
            <w:pPr>
              <w:spacing w:line="360" w:lineRule="auto"/>
              <w:jc w:val="center"/>
              <w:rPr>
                <w:rFonts w:hint="eastAsia" w:ascii="宋体" w:hAnsi="宋体" w:cs="宋体"/>
                <w:color w:val="auto"/>
                <w:sz w:val="24"/>
                <w:szCs w:val="24"/>
                <w:highlight w:val="none"/>
              </w:rPr>
            </w:pPr>
          </w:p>
        </w:tc>
      </w:tr>
      <w:tr w14:paraId="37B57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14:paraId="0E2C527B">
            <w:pPr>
              <w:spacing w:line="360" w:lineRule="auto"/>
              <w:rPr>
                <w:rFonts w:hint="eastAsia"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14:paraId="3A79E2F7">
            <w:pPr>
              <w:spacing w:line="360" w:lineRule="auto"/>
              <w:jc w:val="center"/>
              <w:rPr>
                <w:rFonts w:hint="eastAsia"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14:paraId="4D2B226B">
            <w:pPr>
              <w:spacing w:line="360" w:lineRule="auto"/>
              <w:jc w:val="center"/>
              <w:rPr>
                <w:rFonts w:hint="eastAsia"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14:paraId="293DAF5B">
            <w:pPr>
              <w:widowControl/>
              <w:spacing w:line="360" w:lineRule="auto"/>
              <w:ind w:firstLine="482" w:firstLineChars="200"/>
              <w:jc w:val="left"/>
              <w:rPr>
                <w:rFonts w:hint="eastAsia" w:ascii="宋体" w:hAnsi="宋体"/>
                <w:b/>
                <w:color w:val="auto"/>
                <w:sz w:val="24"/>
                <w:szCs w:val="24"/>
                <w:highlight w:val="none"/>
              </w:rPr>
            </w:pPr>
            <w:r>
              <w:rPr>
                <w:rFonts w:hint="eastAsia" w:ascii="宋体" w:hAnsi="宋体"/>
                <w:b/>
                <w:color w:val="auto"/>
                <w:sz w:val="24"/>
                <w:szCs w:val="24"/>
                <w:highlight w:val="none"/>
              </w:rPr>
              <w:t>十三、违约责任</w:t>
            </w:r>
          </w:p>
          <w:p w14:paraId="1386A133">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标人不得单方放弃中标，因中标供应商原因造成采购合同无法按时签订的，视为中标供应商违约，采购人有权追究其相关法律责任（包括但不限于上报市财政局采监处备案、列入采购人的供应商不诚信名单、三年内禁止参加采购人组织的非政府采购项目、上报市财政局采监处等）。</w:t>
            </w:r>
          </w:p>
          <w:p w14:paraId="12798139">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4.2 在签订采购合同之后，中标供应商要求解除合同的，视为中标供应商违约，采购人有权不予退还履约保证金，并追究其相关法律责任（包括但不限于要求其支付合同总价的30%作为违约金或赔偿采购人因此遭受的全部损失，上报市财政局采监处等）。</w:t>
            </w:r>
          </w:p>
          <w:p w14:paraId="2A8AD933">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4.3 如采购人在合同履行过程中，发现中标供应商实际提供的服务不符合投标文件的，采购人有权解除采购合同，要求中标供应商退还已收合同价款，不予退还其履约保证金，并追究其相关法律责任（包括但不限于要求其支付合同总价的30%作为违约金或赔偿采购人因此遭受的全部损失，上报市财政局采监处等）。</w:t>
            </w:r>
          </w:p>
          <w:p w14:paraId="4BF206E9">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4.4 若经验收不合格或者中标供应商原本承诺“支持”、“满足”，后经验证无法满足的，采购人将根据采购项目具体的情况给予一周时间（或经采购人书面确认的更长时间内）的整改；整改后仍不合格的，采购人有权解除采购合同，要求中标供应商退还已收合同款，不予退还其履约保证金，并追究其相关法律责任（包括但不限于要求其支付合同总价的30%作为违约金或赔偿采购人因此遭受的全部损失，列入采购人的供应商不诚信名单上报市财政局采监处等）。</w:t>
            </w:r>
          </w:p>
          <w:p w14:paraId="1D1B2699">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4.5因投标人原因导致交付延迟，每延迟一日，投标人应按照合同总金额的 0.1%向采购人支付违约金。如遇不可抗力因素影响交付，投标人应在不可抗力事件发生后 24 小时内书面通知采购人，并提供相关证明文件，双方协商确定新的交付时间。</w:t>
            </w:r>
          </w:p>
          <w:p w14:paraId="0E8602A3">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4.6合同期内，日常管理中中标供应商不服从使用单位管理或未按招标文件要求履行服务的，每出现一次，需支付人民币1000元作为违约金。采购人或使用单位有权从履约保证金中直接扣除，若在合同期内，履约保证金被扣除的，中标供应商应在5个工作日内补足。</w:t>
            </w:r>
          </w:p>
          <w:p w14:paraId="7DAE4909">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4.7 经检测，如家具环保等指标达不到国家以及招标文件中的要求，中标供应商应在15个日历日内更换不合格的产品并经检测合格后交付使用单位；如未在规定时限内完成整改并交付检测合格的产品，中标供应商应按中标价的30%金额赔偿给使用单位。</w:t>
            </w:r>
          </w:p>
        </w:tc>
        <w:tc>
          <w:tcPr>
            <w:tcW w:w="779" w:type="dxa"/>
            <w:tcBorders>
              <w:top w:val="single" w:color="auto" w:sz="4" w:space="0"/>
              <w:left w:val="single" w:color="auto" w:sz="4" w:space="0"/>
              <w:bottom w:val="single" w:color="auto" w:sz="4" w:space="0"/>
              <w:right w:val="single" w:color="auto" w:sz="4" w:space="0"/>
            </w:tcBorders>
            <w:vAlign w:val="center"/>
          </w:tcPr>
          <w:p w14:paraId="4D133B8B">
            <w:pPr>
              <w:spacing w:line="360" w:lineRule="auto"/>
              <w:jc w:val="center"/>
              <w:rPr>
                <w:rFonts w:hint="eastAsia"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14:paraId="1937D917">
            <w:pPr>
              <w:spacing w:line="360" w:lineRule="auto"/>
              <w:jc w:val="center"/>
              <w:rPr>
                <w:rFonts w:hint="eastAsia"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14:paraId="06A0844D">
            <w:pPr>
              <w:spacing w:line="360" w:lineRule="auto"/>
              <w:jc w:val="center"/>
              <w:rPr>
                <w:rFonts w:hint="eastAsia" w:ascii="宋体" w:hAnsi="宋体" w:cs="宋体"/>
                <w:color w:val="auto"/>
                <w:sz w:val="24"/>
                <w:szCs w:val="24"/>
                <w:highlight w:val="none"/>
              </w:rPr>
            </w:pPr>
          </w:p>
        </w:tc>
      </w:tr>
    </w:tbl>
    <w:p w14:paraId="7588A29F">
      <w:pPr>
        <w:tabs>
          <w:tab w:val="left" w:pos="5130"/>
        </w:tabs>
        <w:spacing w:line="360" w:lineRule="auto"/>
        <w:ind w:firstLine="480" w:firstLineChars="200"/>
        <w:rPr>
          <w:rFonts w:hint="eastAsia" w:ascii="宋体" w:hAnsi="宋体" w:cs="宋体"/>
          <w:color w:val="auto"/>
          <w:sz w:val="24"/>
          <w:szCs w:val="24"/>
          <w:highlight w:val="none"/>
        </w:rPr>
      </w:pPr>
    </w:p>
    <w:p w14:paraId="5AA0FF96">
      <w:pPr>
        <w:tabs>
          <w:tab w:val="left" w:pos="5130"/>
        </w:tabs>
        <w:spacing w:line="360" w:lineRule="auto"/>
        <w:ind w:firstLine="480" w:firstLineChars="200"/>
        <w:rPr>
          <w:rFonts w:hint="eastAsia" w:ascii="宋体" w:hAnsi="宋体" w:cs="宋体"/>
          <w:color w:val="auto"/>
          <w:sz w:val="24"/>
          <w:szCs w:val="24"/>
          <w:highlight w:val="none"/>
        </w:rPr>
      </w:pPr>
    </w:p>
    <w:p w14:paraId="6464B41E">
      <w:pPr>
        <w:spacing w:line="360" w:lineRule="auto"/>
        <w:rPr>
          <w:rFonts w:hint="eastAsia" w:ascii="宋体" w:hAnsi="宋体" w:cs="宋体"/>
          <w:color w:val="auto"/>
          <w:sz w:val="24"/>
          <w:szCs w:val="24"/>
          <w:highlight w:val="none"/>
        </w:rPr>
      </w:pPr>
    </w:p>
    <w:p w14:paraId="02E4AA08">
      <w:pPr>
        <w:spacing w:line="360" w:lineRule="auto"/>
        <w:rPr>
          <w:rFonts w:hint="eastAsia" w:ascii="宋体" w:hAnsi="宋体" w:cs="宋体"/>
          <w:color w:val="auto"/>
          <w:sz w:val="24"/>
          <w:szCs w:val="24"/>
          <w:highlight w:val="none"/>
        </w:rPr>
      </w:pPr>
    </w:p>
    <w:p w14:paraId="27681F90">
      <w:pPr>
        <w:spacing w:line="360" w:lineRule="auto"/>
        <w:jc w:val="center"/>
        <w:rPr>
          <w:rFonts w:hint="eastAsia" w:ascii="宋体" w:hAnsi="宋体" w:cs="宋体"/>
          <w:b/>
          <w:bCs/>
          <w:color w:val="auto"/>
          <w:sz w:val="24"/>
          <w:szCs w:val="24"/>
          <w:highlight w:val="none"/>
        </w:rPr>
        <w:sectPr>
          <w:headerReference r:id="rId9" w:type="default"/>
          <w:footerReference r:id="rId10" w:type="default"/>
          <w:pgSz w:w="11906" w:h="16838"/>
          <w:pgMar w:top="851" w:right="851" w:bottom="851" w:left="1134" w:header="567" w:footer="567" w:gutter="0"/>
          <w:cols w:space="720" w:num="1"/>
          <w:docGrid w:linePitch="312" w:charSpace="0"/>
        </w:sectPr>
      </w:pPr>
    </w:p>
    <w:p w14:paraId="0FC79ECC">
      <w:pPr>
        <w:numPr>
          <w:ilvl w:val="255"/>
          <w:numId w:val="0"/>
        </w:numPr>
        <w:spacing w:line="360" w:lineRule="auto"/>
        <w:ind w:firstLine="1285" w:firstLineChars="400"/>
        <w:rPr>
          <w:rFonts w:hint="eastAsia" w:ascii="宋体" w:hAnsi="宋体" w:cs="宋体"/>
          <w:b/>
          <w:color w:val="auto"/>
          <w:sz w:val="32"/>
          <w:szCs w:val="32"/>
          <w:highlight w:val="none"/>
        </w:rPr>
      </w:pPr>
      <w:r>
        <w:rPr>
          <w:rFonts w:hint="eastAsia" w:ascii="宋体" w:hAnsi="宋体" w:cs="宋体"/>
          <w:b/>
          <w:color w:val="auto"/>
          <w:sz w:val="32"/>
          <w:szCs w:val="32"/>
          <w:highlight w:val="none"/>
        </w:rPr>
        <w:t xml:space="preserve">第四章    </w:t>
      </w:r>
      <w:bookmarkStart w:id="1" w:name="OLE_LINK265"/>
      <w:bookmarkStart w:id="2" w:name="OLE_LINK266"/>
      <w:r>
        <w:rPr>
          <w:rFonts w:hint="eastAsia" w:ascii="宋体" w:hAnsi="宋体" w:cs="宋体"/>
          <w:b/>
          <w:color w:val="auto"/>
          <w:sz w:val="32"/>
          <w:szCs w:val="32"/>
          <w:highlight w:val="none"/>
        </w:rPr>
        <w:t>政府采购货物买卖合同（试行）</w:t>
      </w:r>
      <w:bookmarkEnd w:id="1"/>
      <w:bookmarkEnd w:id="2"/>
    </w:p>
    <w:p w14:paraId="7564DFE8">
      <w:pPr>
        <w:numPr>
          <w:ilvl w:val="255"/>
          <w:numId w:val="0"/>
        </w:numPr>
        <w:spacing w:line="360" w:lineRule="auto"/>
        <w:rPr>
          <w:rFonts w:hint="eastAsia" w:ascii="宋体" w:hAnsi="宋体" w:cs="宋体"/>
          <w:b/>
          <w:color w:val="auto"/>
          <w:sz w:val="32"/>
          <w:szCs w:val="32"/>
          <w:highlight w:val="none"/>
        </w:rPr>
      </w:pPr>
    </w:p>
    <w:p w14:paraId="7D3A6F5D">
      <w:pPr>
        <w:spacing w:line="360" w:lineRule="auto"/>
        <w:jc w:val="center"/>
        <w:rPr>
          <w:rFonts w:hint="eastAsia" w:ascii="宋体" w:hAnsi="宋体" w:cs="宋体"/>
          <w:b/>
          <w:bCs/>
          <w:color w:val="auto"/>
          <w:spacing w:val="-20"/>
          <w:kern w:val="44"/>
          <w:sz w:val="48"/>
          <w:szCs w:val="48"/>
          <w:highlight w:val="none"/>
        </w:rPr>
      </w:pPr>
      <w:r>
        <w:rPr>
          <w:rFonts w:hint="eastAsia" w:ascii="宋体" w:hAnsi="宋体" w:cs="宋体"/>
          <w:b/>
          <w:bCs/>
          <w:color w:val="auto"/>
          <w:spacing w:val="-20"/>
          <w:kern w:val="44"/>
          <w:sz w:val="48"/>
          <w:szCs w:val="48"/>
          <w:highlight w:val="none"/>
        </w:rPr>
        <w:t>政府采购货物买卖合同</w:t>
      </w:r>
    </w:p>
    <w:p w14:paraId="7A2F1AEA">
      <w:pPr>
        <w:spacing w:line="360" w:lineRule="auto"/>
        <w:jc w:val="center"/>
        <w:rPr>
          <w:rFonts w:hint="eastAsia" w:ascii="宋体" w:hAnsi="宋体" w:cs="宋体"/>
          <w:b/>
          <w:bCs/>
          <w:color w:val="auto"/>
          <w:spacing w:val="-20"/>
          <w:kern w:val="44"/>
          <w:sz w:val="48"/>
          <w:szCs w:val="48"/>
          <w:highlight w:val="none"/>
        </w:rPr>
      </w:pPr>
      <w:r>
        <w:rPr>
          <w:rFonts w:hint="eastAsia" w:ascii="宋体" w:hAnsi="宋体" w:cs="宋体"/>
          <w:b/>
          <w:bCs/>
          <w:color w:val="auto"/>
          <w:spacing w:val="-20"/>
          <w:kern w:val="44"/>
          <w:sz w:val="48"/>
          <w:szCs w:val="48"/>
          <w:highlight w:val="none"/>
        </w:rPr>
        <w:t>（试行）</w:t>
      </w:r>
    </w:p>
    <w:p w14:paraId="6628DAA4">
      <w:pPr>
        <w:spacing w:line="360" w:lineRule="auto"/>
        <w:rPr>
          <w:rFonts w:hint="eastAsia" w:ascii="宋体" w:hAnsi="宋体" w:cs="宋体"/>
          <w:b/>
          <w:bCs/>
          <w:color w:val="auto"/>
          <w:spacing w:val="-20"/>
          <w:kern w:val="44"/>
          <w:sz w:val="40"/>
          <w:szCs w:val="40"/>
          <w:highlight w:val="none"/>
        </w:rPr>
      </w:pPr>
    </w:p>
    <w:p w14:paraId="4F2495A9">
      <w:pPr>
        <w:spacing w:line="360" w:lineRule="auto"/>
        <w:rPr>
          <w:rFonts w:hint="eastAsia" w:ascii="宋体" w:hAnsi="宋体" w:cs="宋体"/>
          <w:b/>
          <w:bCs/>
          <w:color w:val="auto"/>
          <w:spacing w:val="-20"/>
          <w:kern w:val="44"/>
          <w:sz w:val="40"/>
          <w:szCs w:val="40"/>
          <w:highlight w:val="none"/>
        </w:rPr>
      </w:pPr>
    </w:p>
    <w:p w14:paraId="797001FA">
      <w:pPr>
        <w:spacing w:line="360" w:lineRule="auto"/>
        <w:rPr>
          <w:rFonts w:hint="eastAsia" w:ascii="宋体" w:hAnsi="宋体" w:cs="宋体"/>
          <w:b/>
          <w:bCs/>
          <w:color w:val="auto"/>
          <w:spacing w:val="-20"/>
          <w:kern w:val="44"/>
          <w:sz w:val="40"/>
          <w:szCs w:val="40"/>
          <w:highlight w:val="none"/>
        </w:rPr>
      </w:pPr>
    </w:p>
    <w:p w14:paraId="77492D39">
      <w:pPr>
        <w:spacing w:line="360" w:lineRule="auto"/>
        <w:jc w:val="center"/>
        <w:rPr>
          <w:rFonts w:hint="eastAsia" w:ascii="宋体" w:hAnsi="宋体" w:cs="宋体"/>
          <w:b/>
          <w:bCs/>
          <w:color w:val="auto"/>
          <w:spacing w:val="-20"/>
          <w:kern w:val="44"/>
          <w:sz w:val="48"/>
          <w:szCs w:val="48"/>
          <w:highlight w:val="none"/>
        </w:rPr>
      </w:pPr>
      <w:r>
        <w:rPr>
          <w:rFonts w:hint="eastAsia" w:ascii="宋体" w:hAnsi="宋体" w:cs="宋体"/>
          <w:b/>
          <w:bCs/>
          <w:color w:val="auto"/>
          <w:spacing w:val="-20"/>
          <w:kern w:val="44"/>
          <w:sz w:val="48"/>
          <w:szCs w:val="48"/>
          <w:highlight w:val="none"/>
        </w:rPr>
        <w:t>详见附件</w:t>
      </w:r>
    </w:p>
    <w:p w14:paraId="0F1D1D25">
      <w:pPr>
        <w:rPr>
          <w:color w:val="auto"/>
          <w:highlight w:val="none"/>
        </w:rPr>
      </w:pPr>
    </w:p>
    <w:p w14:paraId="148DF1F0">
      <w:pPr>
        <w:rPr>
          <w:color w:val="auto"/>
          <w:highlight w:val="none"/>
        </w:rPr>
      </w:pPr>
    </w:p>
    <w:p w14:paraId="2A8096AB">
      <w:pPr>
        <w:rPr>
          <w:color w:val="auto"/>
          <w:highlight w:val="none"/>
        </w:rPr>
      </w:pPr>
    </w:p>
    <w:sectPr>
      <w:headerReference r:id="rId11" w:type="default"/>
      <w:footerReference r:id="rId12"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Helvetica">
    <w:altName w:val="Arial"/>
    <w:panose1 w:val="020B0504020202020204"/>
    <w:charset w:val="00"/>
    <w:family w:val="swiss"/>
    <w:pitch w:val="default"/>
    <w:sig w:usb0="00000000" w:usb1="00000000"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E6C2C7">
    <w:pPr>
      <w:pStyle w:val="9"/>
      <w:rPr>
        <w:rFonts w:hint="eastAsia" w:ascii="宋体" w:hAnsi="宋体"/>
        <w:sz w:val="21"/>
        <w:szCs w:val="21"/>
      </w:rPr>
    </w:pPr>
    <w:r>
      <w:rPr>
        <w:rFonts w:hint="eastAsia"/>
      </w:rPr>
      <w:t xml:space="preserve">                                          </w:t>
    </w:r>
    <w:r>
      <w:rPr>
        <w:rFonts w:hint="eastAsia" w:ascii="宋体" w:hAnsi="宋体"/>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816E1">
    <w:pPr>
      <w:pStyle w:val="9"/>
      <w:jc w:val="center"/>
    </w:pPr>
    <w:r>
      <w:rPr>
        <w:rFonts w:hint="eastAsia"/>
      </w:rPr>
      <w:t>3-1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83E4A">
    <w:pPr>
      <w:pStyle w:val="9"/>
      <w:rPr>
        <w:rFonts w:hint="eastAsia" w:ascii="宋体" w:hAnsi="宋体"/>
      </w:rPr>
    </w:pPr>
    <w:r>
      <w:rPr>
        <w:rFonts w:hint="eastAsia"/>
      </w:rPr>
      <w:t xml:space="preserve">                                          </w:t>
    </w:r>
    <w:r>
      <w:rPr>
        <w:rFonts w:hint="eastAsia" w:ascii="宋体" w:hAnsi="宋体"/>
        <w:sz w:val="21"/>
        <w:szCs w:val="21"/>
      </w:rPr>
      <w:t xml:space="preserve">   </w:t>
    </w:r>
    <w:r>
      <w:rPr>
        <w:rFonts w:ascii="宋体" w:hAnsi="宋体"/>
      </w:rPr>
      <w:t xml:space="preserve"> 1-</w:t>
    </w:r>
    <w:r>
      <w:rPr>
        <w:rFonts w:ascii="宋体" w:hAnsi="宋体"/>
      </w:rPr>
      <w:fldChar w:fldCharType="begin"/>
    </w:r>
    <w:r>
      <w:rPr>
        <w:rStyle w:val="17"/>
        <w:rFonts w:ascii="宋体" w:hAnsi="宋体"/>
      </w:rPr>
      <w:instrText xml:space="preserve"> PAGE </w:instrText>
    </w:r>
    <w:r>
      <w:rPr>
        <w:rFonts w:ascii="宋体" w:hAnsi="宋体"/>
      </w:rPr>
      <w:fldChar w:fldCharType="separate"/>
    </w:r>
    <w:r>
      <w:rPr>
        <w:rStyle w:val="17"/>
        <w:rFonts w:ascii="宋体" w:hAnsi="宋体"/>
      </w:rPr>
      <w:t>1</w:t>
    </w:r>
    <w:r>
      <w:rPr>
        <w:rFonts w:ascii="宋体" w:hAnsi="宋体"/>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7A3F2">
    <w:pPr>
      <w:pStyle w:val="9"/>
      <w:jc w:val="center"/>
      <w:rPr>
        <w:rFonts w:hint="eastAsia" w:ascii="宋体" w:hAnsi="宋体"/>
      </w:rPr>
    </w:pPr>
    <w:r>
      <w:rPr>
        <w:rStyle w:val="17"/>
        <w:rFonts w:ascii="宋体" w:hAnsi="宋体"/>
        <w:szCs w:val="20"/>
      </w:rPr>
      <w:t>2-1-</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5</w:t>
    </w:r>
    <w:r>
      <w:rPr>
        <w:rFonts w:ascii="宋体" w:hAnsi="宋体"/>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8C9B2">
    <w:pPr>
      <w:pStyle w:val="9"/>
      <w:jc w:val="both"/>
      <w:rPr>
        <w:rFonts w:hint="eastAsia" w:ascii="宋体" w:hAnsi="宋体"/>
      </w:rPr>
    </w:pPr>
    <w: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328295" cy="185420"/>
              <wp:effectExtent l="0" t="0" r="0" b="0"/>
              <wp:wrapNone/>
              <wp:docPr id="204" name="文本框 204"/>
              <wp:cNvGraphicFramePr/>
              <a:graphic xmlns:a="http://schemas.openxmlformats.org/drawingml/2006/main">
                <a:graphicData uri="http://schemas.microsoft.com/office/word/2010/wordprocessingShape">
                  <wps:wsp>
                    <wps:cNvSpPr txBox="1"/>
                    <wps:spPr>
                      <a:xfrm>
                        <a:off x="0" y="0"/>
                        <a:ext cx="328295" cy="185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DBAA39">
                          <w:pPr>
                            <w:pStyle w:val="9"/>
                            <w:jc w:val="center"/>
                          </w:pPr>
                          <w:r>
                            <w:rPr>
                              <w:rStyle w:val="17"/>
                              <w:rFonts w:hint="eastAsia" w:ascii="宋体" w:hAnsi="宋体"/>
                              <w:szCs w:val="20"/>
                            </w:rPr>
                            <w:t>3</w:t>
                          </w:r>
                          <w:r>
                            <w:rPr>
                              <w:rStyle w:val="17"/>
                              <w:rFonts w:ascii="宋体" w:hAnsi="宋体"/>
                              <w:szCs w:val="20"/>
                            </w:rPr>
                            <w:t>-</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5</w:t>
                          </w:r>
                          <w:r>
                            <w:rPr>
                              <w:rFonts w:ascii="宋体" w:hAnsi="宋体"/>
                              <w:szCs w:val="20"/>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top:0pt;height:14.6pt;width:25.85pt;mso-position-horizontal:center;mso-position-horizontal-relative:margin;z-index:251692032;mso-width-relative:page;mso-height-relative:page;" filled="f" stroked="f" coordsize="21600,21600" o:gfxdata="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2UG1tIAAAADAQAADwAAAAAAAAABACAAAAAiAAAAZHJzL2Rvd25yZXYueG1sUEsB&#10;AhQAFAAAAAgAh07iQGP8o+s0AgAAWQQAAA4AAAAAAAAAAQAgAAAAIQEAAGRycy9lMm9Eb2MueG1s&#10;UEsFBgAAAAAGAAYAWQEAAMcFAAAAAA==&#10;">
              <v:fill on="f" focussize="0,0"/>
              <v:stroke on="f" weight="0.5pt"/>
              <v:imagedata o:title=""/>
              <o:lock v:ext="edit" aspectratio="f"/>
              <v:textbox inset="0mm,0mm,0mm,0mm">
                <w:txbxContent>
                  <w:p w14:paraId="4CDBAA39">
                    <w:pPr>
                      <w:pStyle w:val="9"/>
                      <w:jc w:val="center"/>
                    </w:pPr>
                    <w:r>
                      <w:rPr>
                        <w:rStyle w:val="17"/>
                        <w:rFonts w:hint="eastAsia" w:ascii="宋体" w:hAnsi="宋体"/>
                        <w:szCs w:val="20"/>
                      </w:rPr>
                      <w:t>3</w:t>
                    </w:r>
                    <w:r>
                      <w:rPr>
                        <w:rStyle w:val="17"/>
                        <w:rFonts w:ascii="宋体" w:hAnsi="宋体"/>
                        <w:szCs w:val="20"/>
                      </w:rPr>
                      <w:t>-</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5</w:t>
                    </w:r>
                    <w:r>
                      <w:rPr>
                        <w:rFonts w:ascii="宋体" w:hAnsi="宋体"/>
                        <w:szCs w:val="20"/>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0CFEF">
    <w:pPr>
      <w:pStyle w:val="9"/>
      <w:tabs>
        <w:tab w:val="right" w:pos="8460"/>
        <w:tab w:val="clear" w:pos="8306"/>
      </w:tabs>
      <w:ind w:right="-89" w:firstLine="420"/>
      <w:jc w:val="center"/>
      <w:rPr>
        <w:rFonts w:hint="eastAsia" w:ascii="宋体" w:hAnsi="宋体"/>
      </w:rPr>
    </w:pPr>
    <w:r>
      <mc:AlternateContent>
        <mc:Choice Requires="wps">
          <w:drawing>
            <wp:anchor distT="0" distB="0" distL="114300" distR="114300" simplePos="0" relativeHeight="251693056" behindDoc="0" locked="0" layoutInCell="1" allowOverlap="1">
              <wp:simplePos x="0" y="0"/>
              <wp:positionH relativeFrom="margin">
                <wp:posOffset>2870200</wp:posOffset>
              </wp:positionH>
              <wp:positionV relativeFrom="paragraph">
                <wp:posOffset>-46990</wp:posOffset>
              </wp:positionV>
              <wp:extent cx="677545" cy="201295"/>
              <wp:effectExtent l="0" t="0" r="0" b="0"/>
              <wp:wrapNone/>
              <wp:docPr id="205" name="文本框 205"/>
              <wp:cNvGraphicFramePr/>
              <a:graphic xmlns:a="http://schemas.openxmlformats.org/drawingml/2006/main">
                <a:graphicData uri="http://schemas.microsoft.com/office/word/2010/wordprocessingShape">
                  <wps:wsp>
                    <wps:cNvSpPr txBox="1"/>
                    <wps:spPr>
                      <a:xfrm>
                        <a:off x="0" y="0"/>
                        <a:ext cx="677545" cy="201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95672A">
                          <w:pPr>
                            <w:pStyle w:val="9"/>
                            <w:tabs>
                              <w:tab w:val="right" w:pos="8460"/>
                              <w:tab w:val="clear" w:pos="8306"/>
                            </w:tabs>
                            <w:ind w:right="-89" w:firstLine="360" w:firstLineChars="200"/>
                            <w:jc w:val="both"/>
                          </w:pPr>
                          <w:r>
                            <w:rPr>
                              <w:rFonts w:ascii="宋体" w:hAnsi="宋体"/>
                              <w:szCs w:val="20"/>
                            </w:rPr>
                            <w:t>3-</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5</w:t>
                          </w:r>
                          <w:r>
                            <w:rPr>
                              <w:rFonts w:ascii="宋体" w:hAnsi="宋体"/>
                              <w:szCs w:val="20"/>
                            </w:rPr>
                            <w:fldChar w:fldCharType="end"/>
                          </w:r>
                          <w:r>
                            <w:rPr>
                              <w:rFonts w:ascii="宋体" w:hAnsi="宋体"/>
                              <w:szCs w:val="20"/>
                            </w:rPr>
                            <w:t xml:space="preserve"> </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26pt;margin-top:-3.7pt;height:15.85pt;width:53.35pt;mso-position-horizontal-relative:margin;z-index:251693056;mso-width-relative:page;mso-height-relative:page;" filled="f" stroked="f" coordsize="21600,21600" o:gfxdata="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M1TMjZAAAACQEAAA8AAAAAAAAAAQAgAAAAIgAAAGRycy9kb3ducmV2Lnht&#10;bFBLAQIUABQAAAAIAIdO4kCX0niMMQIAAFkEAAAOAAAAAAAAAAEAIAAAACgBAABkcnMvZTJvRG9j&#10;LnhtbFBLBQYAAAAABgAGAFkBAADLBQAAAAA=&#10;">
              <v:fill on="f" focussize="0,0"/>
              <v:stroke on="f" weight="0.5pt"/>
              <v:imagedata o:title=""/>
              <o:lock v:ext="edit" aspectratio="f"/>
              <v:textbox inset="0mm,0mm,0mm,0mm">
                <w:txbxContent>
                  <w:p w14:paraId="0395672A">
                    <w:pPr>
                      <w:pStyle w:val="9"/>
                      <w:tabs>
                        <w:tab w:val="right" w:pos="8460"/>
                        <w:tab w:val="clear" w:pos="8306"/>
                      </w:tabs>
                      <w:ind w:right="-89" w:firstLine="360" w:firstLineChars="200"/>
                      <w:jc w:val="both"/>
                    </w:pPr>
                    <w:r>
                      <w:rPr>
                        <w:rFonts w:ascii="宋体" w:hAnsi="宋体"/>
                        <w:szCs w:val="20"/>
                      </w:rPr>
                      <w:t>3-</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5</w:t>
                    </w:r>
                    <w:r>
                      <w:rPr>
                        <w:rFonts w:ascii="宋体" w:hAnsi="宋体"/>
                        <w:szCs w:val="20"/>
                      </w:rPr>
                      <w:fldChar w:fldCharType="end"/>
                    </w:r>
                    <w:r>
                      <w:rPr>
                        <w:rFonts w:ascii="宋体" w:hAnsi="宋体"/>
                        <w:szCs w:val="20"/>
                      </w:rPr>
                      <w:t xml:space="preserve"> </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C54A92">
    <w:pPr>
      <w:pStyle w:val="9"/>
      <w:tabs>
        <w:tab w:val="right" w:pos="8460"/>
        <w:tab w:val="clear" w:pos="8306"/>
      </w:tabs>
      <w:ind w:right="-89" w:firstLine="420"/>
      <w:jc w:val="center"/>
      <w:rPr>
        <w:rFonts w:hint="eastAsia" w:ascii="宋体" w:hAnsi="宋体"/>
      </w:rPr>
    </w:pPr>
    <w:r>
      <mc:AlternateContent>
        <mc:Choice Requires="wps">
          <w:drawing>
            <wp:anchor distT="0" distB="0" distL="114300" distR="114300" simplePos="0" relativeHeight="251694080" behindDoc="0" locked="0" layoutInCell="1" allowOverlap="1">
              <wp:simplePos x="0" y="0"/>
              <wp:positionH relativeFrom="margin">
                <wp:posOffset>2414905</wp:posOffset>
              </wp:positionH>
              <wp:positionV relativeFrom="paragraph">
                <wp:posOffset>-46990</wp:posOffset>
              </wp:positionV>
              <wp:extent cx="635000" cy="201295"/>
              <wp:effectExtent l="0" t="0" r="0" b="0"/>
              <wp:wrapNone/>
              <wp:docPr id="206" name="文本框 206"/>
              <wp:cNvGraphicFramePr/>
              <a:graphic xmlns:a="http://schemas.openxmlformats.org/drawingml/2006/main">
                <a:graphicData uri="http://schemas.microsoft.com/office/word/2010/wordprocessingShape">
                  <wps:wsp>
                    <wps:cNvSpPr txBox="1"/>
                    <wps:spPr>
                      <a:xfrm>
                        <a:off x="0" y="0"/>
                        <a:ext cx="635000" cy="201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2C3292">
                          <w:pPr>
                            <w:pStyle w:val="9"/>
                            <w:tabs>
                              <w:tab w:val="right" w:pos="8460"/>
                              <w:tab w:val="clear" w:pos="8306"/>
                            </w:tabs>
                            <w:ind w:right="-89" w:firstLine="360" w:firstLineChars="200"/>
                            <w:jc w:val="both"/>
                          </w:pPr>
                          <w:r>
                            <w:rPr>
                              <w:rFonts w:hint="eastAsia" w:ascii="宋体" w:hAnsi="宋体"/>
                              <w:szCs w:val="20"/>
                            </w:rPr>
                            <w:t>4</w:t>
                          </w:r>
                          <w:r>
                            <w:rPr>
                              <w:rFonts w:ascii="宋体" w:hAnsi="宋体"/>
                              <w:szCs w:val="20"/>
                            </w:rPr>
                            <w:t>-</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1</w:t>
                          </w:r>
                          <w:r>
                            <w:rPr>
                              <w:rFonts w:ascii="宋体" w:hAnsi="宋体"/>
                              <w:szCs w:val="20"/>
                            </w:rPr>
                            <w:fldChar w:fldCharType="end"/>
                          </w:r>
                          <w:r>
                            <w:rPr>
                              <w:rFonts w:ascii="宋体" w:hAnsi="宋体"/>
                              <w:szCs w:val="20"/>
                            </w:rPr>
                            <w:t xml:space="preserve">  </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90.15pt;margin-top:-3.7pt;height:15.85pt;width:50pt;mso-position-horizontal-relative:margin;z-index:251694080;mso-width-relative:page;mso-height-relative:page;" filled="f" stroked="f" coordsize="21600,21600" o:gfxdata="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MCB8NtcAAAAJAQAADwAAAAAAAAABACAAAAAiAAAAZHJzL2Rvd25yZXYueG1sUEsB&#10;AhQAFAAAAAgAh07iQOLszn0vAgAAWQQAAA4AAAAAAAAAAQAgAAAAJgEAAGRycy9lMm9Eb2MueG1s&#10;UEsFBgAAAAAGAAYAWQEAAMcFAAAAAA==&#10;">
              <v:fill on="f" focussize="0,0"/>
              <v:stroke on="f" weight="0.5pt"/>
              <v:imagedata o:title=""/>
              <o:lock v:ext="edit" aspectratio="f"/>
              <v:textbox inset="0mm,0mm,0mm,0mm">
                <w:txbxContent>
                  <w:p w14:paraId="662C3292">
                    <w:pPr>
                      <w:pStyle w:val="9"/>
                      <w:tabs>
                        <w:tab w:val="right" w:pos="8460"/>
                        <w:tab w:val="clear" w:pos="8306"/>
                      </w:tabs>
                      <w:ind w:right="-89" w:firstLine="360" w:firstLineChars="200"/>
                      <w:jc w:val="both"/>
                    </w:pPr>
                    <w:r>
                      <w:rPr>
                        <w:rFonts w:hint="eastAsia" w:ascii="宋体" w:hAnsi="宋体"/>
                        <w:szCs w:val="20"/>
                      </w:rPr>
                      <w:t>4</w:t>
                    </w:r>
                    <w:r>
                      <w:rPr>
                        <w:rFonts w:ascii="宋体" w:hAnsi="宋体"/>
                        <w:szCs w:val="20"/>
                      </w:rPr>
                      <w:t>-</w:t>
                    </w:r>
                    <w:r>
                      <w:rPr>
                        <w:rFonts w:ascii="宋体" w:hAnsi="宋体"/>
                        <w:szCs w:val="20"/>
                      </w:rPr>
                      <w:fldChar w:fldCharType="begin"/>
                    </w:r>
                    <w:r>
                      <w:rPr>
                        <w:rStyle w:val="17"/>
                        <w:rFonts w:ascii="宋体" w:hAnsi="宋体"/>
                        <w:szCs w:val="20"/>
                      </w:rPr>
                      <w:instrText xml:space="preserve"> PAGE </w:instrText>
                    </w:r>
                    <w:r>
                      <w:rPr>
                        <w:rFonts w:ascii="宋体" w:hAnsi="宋体"/>
                        <w:szCs w:val="20"/>
                      </w:rPr>
                      <w:fldChar w:fldCharType="separate"/>
                    </w:r>
                    <w:r>
                      <w:rPr>
                        <w:rStyle w:val="17"/>
                        <w:rFonts w:ascii="宋体" w:hAnsi="宋体"/>
                        <w:szCs w:val="20"/>
                      </w:rPr>
                      <w:t>1</w:t>
                    </w:r>
                    <w:r>
                      <w:rPr>
                        <w:rFonts w:ascii="宋体" w:hAnsi="宋体"/>
                        <w:szCs w:val="20"/>
                      </w:rPr>
                      <w:fldChar w:fldCharType="end"/>
                    </w:r>
                    <w:r>
                      <w:rPr>
                        <w:rFonts w:ascii="宋体" w:hAnsi="宋体"/>
                        <w:szCs w:val="20"/>
                      </w:rP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A871C8">
    <w:pPr>
      <w:pStyle w:val="1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7F05A">
    <w:pPr>
      <w:pStyle w:val="10"/>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82FA6">
    <w:pPr>
      <w:pStyle w:val="1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AFC65B4"/>
    <w:multiLevelType w:val="singleLevel"/>
    <w:tmpl w:val="EAFC65B4"/>
    <w:lvl w:ilvl="0" w:tentative="0">
      <w:start w:val="6"/>
      <w:numFmt w:val="decimal"/>
      <w:suff w:val="nothing"/>
      <w:lvlText w:val="%1、"/>
      <w:lvlJc w:val="left"/>
    </w:lvl>
  </w:abstractNum>
  <w:abstractNum w:abstractNumId="1">
    <w:nsid w:val="25C22B40"/>
    <w:multiLevelType w:val="multilevel"/>
    <w:tmpl w:val="25C22B40"/>
    <w:lvl w:ilvl="0" w:tentative="0">
      <w:start w:val="1"/>
      <w:numFmt w:val="japaneseCounting"/>
      <w:lvlText w:val="%1、"/>
      <w:lvlJc w:val="left"/>
      <w:pPr>
        <w:tabs>
          <w:tab w:val="left" w:pos="480"/>
        </w:tabs>
        <w:ind w:left="480" w:hanging="48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6D1F8607"/>
    <w:multiLevelType w:val="singleLevel"/>
    <w:tmpl w:val="6D1F8607"/>
    <w:lvl w:ilvl="0" w:tentative="0">
      <w:start w:val="9"/>
      <w:numFmt w:val="decimal"/>
      <w:suff w:val="nothing"/>
      <w:lvlText w:val="%1、"/>
      <w:lvlJc w:val="left"/>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I3MmMyODEyNDZhNzk4OGQwMDhmZjJhOWMwYzk3YjYifQ=="/>
  </w:docVars>
  <w:rsids>
    <w:rsidRoot w:val="7AFB5643"/>
    <w:rsid w:val="7AFB56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3"/>
    <w:basedOn w:val="1"/>
    <w:next w:val="1"/>
    <w:qFormat/>
    <w:uiPriority w:val="99"/>
    <w:pPr>
      <w:keepNext/>
      <w:keepLines/>
      <w:spacing w:line="412" w:lineRule="auto"/>
      <w:jc w:val="center"/>
      <w:outlineLvl w:val="2"/>
    </w:pPr>
    <w:rPr>
      <w:b/>
      <w:bCs/>
      <w:szCs w:val="32"/>
    </w:rPr>
  </w:style>
  <w:style w:type="character" w:default="1" w:styleId="15">
    <w:name w:val="Default Paragraph Font"/>
    <w:semiHidden/>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3">
    <w:name w:val="Normal Indent"/>
    <w:basedOn w:val="1"/>
    <w:qFormat/>
    <w:uiPriority w:val="0"/>
    <w:pPr>
      <w:ind w:firstLine="420"/>
    </w:pPr>
    <w:rPr>
      <w:szCs w:val="20"/>
    </w:rPr>
  </w:style>
  <w:style w:type="paragraph" w:styleId="4">
    <w:name w:val="annotation text"/>
    <w:basedOn w:val="1"/>
    <w:semiHidden/>
    <w:unhideWhenUsed/>
    <w:qFormat/>
    <w:uiPriority w:val="99"/>
    <w:pPr>
      <w:jc w:val="left"/>
    </w:pPr>
  </w:style>
  <w:style w:type="paragraph" w:styleId="5">
    <w:name w:val="Body Text"/>
    <w:basedOn w:val="1"/>
    <w:next w:val="1"/>
    <w:qFormat/>
    <w:uiPriority w:val="0"/>
    <w:pPr>
      <w:jc w:val="center"/>
    </w:pPr>
    <w:rPr>
      <w:rFonts w:ascii="幼圆" w:hAnsi="新宋体" w:eastAsia="幼圆"/>
      <w:b/>
      <w:bCs/>
      <w:sz w:val="84"/>
      <w:szCs w:val="20"/>
      <w14:shadow w14:blurRad="50800" w14:dist="38100" w14:dir="2700000" w14:sx="100000" w14:sy="100000" w14:kx="0" w14:ky="0" w14:algn="tl">
        <w14:srgbClr w14:val="000000">
          <w14:alpha w14:val="60000"/>
        </w14:srgbClr>
      </w14:shadow>
    </w:rPr>
  </w:style>
  <w:style w:type="paragraph" w:styleId="6">
    <w:name w:val="Body Text Indent"/>
    <w:basedOn w:val="1"/>
    <w:next w:val="1"/>
    <w:qFormat/>
    <w:uiPriority w:val="0"/>
    <w:pPr>
      <w:ind w:left="420" w:leftChars="200"/>
    </w:pPr>
  </w:style>
  <w:style w:type="paragraph" w:styleId="7">
    <w:name w:val="Plain Text"/>
    <w:basedOn w:val="1"/>
    <w:qFormat/>
    <w:uiPriority w:val="0"/>
    <w:rPr>
      <w:rFonts w:ascii="宋体" w:hAnsi="Courier New"/>
      <w:szCs w:val="20"/>
    </w:rPr>
  </w:style>
  <w:style w:type="paragraph" w:styleId="8">
    <w:name w:val="Body Text Indent 2"/>
    <w:basedOn w:val="1"/>
    <w:qFormat/>
    <w:uiPriority w:val="0"/>
    <w:pPr>
      <w:spacing w:after="120" w:line="480" w:lineRule="auto"/>
      <w:ind w:left="420"/>
    </w:pPr>
    <w:rPr>
      <w:szCs w:val="20"/>
    </w:rPr>
  </w:style>
  <w:style w:type="paragraph" w:styleId="9">
    <w:name w:val="footer"/>
    <w:basedOn w:val="1"/>
    <w:unhideWhenUsed/>
    <w:qFormat/>
    <w:uiPriority w:val="0"/>
    <w:pPr>
      <w:tabs>
        <w:tab w:val="center" w:pos="4153"/>
        <w:tab w:val="right" w:pos="8306"/>
      </w:tabs>
      <w:snapToGrid w:val="0"/>
      <w:jc w:val="left"/>
    </w:pPr>
    <w:rPr>
      <w:sz w:val="18"/>
      <w:szCs w:val="18"/>
    </w:rPr>
  </w:style>
  <w:style w:type="paragraph" w:styleId="10">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color w:val="000000"/>
      <w:kern w:val="0"/>
      <w:sz w:val="24"/>
      <w:szCs w:val="24"/>
    </w:rPr>
  </w:style>
  <w:style w:type="paragraph" w:styleId="12">
    <w:name w:val="Body Text First Indent 2"/>
    <w:basedOn w:val="6"/>
    <w:next w:val="1"/>
    <w:qFormat/>
    <w:uiPriority w:val="0"/>
    <w:pPr>
      <w:ind w:firstLine="420" w:firstLineChars="200"/>
    </w:pPr>
  </w:style>
  <w:style w:type="table" w:styleId="14">
    <w:name w:val="Table Grid"/>
    <w:basedOn w:val="13"/>
    <w:qFormat/>
    <w:uiPriority w:val="59"/>
    <w:rPr>
      <w:rFonts w:ascii="Times New Roman" w:hAnsi="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op w:val="single" w:color="000000" w:sz="4" w:space="0"/>
        <w:left w:val="single" w:color="000000" w:sz="4" w:space="0"/>
        <w:bottom w:val="single" w:color="000000" w:sz="4" w:space="0"/>
        <w:right w:val="single" w:color="000000" w:sz="4" w:space="0"/>
      </w:tcBorders>
    </w:tcPr>
  </w:style>
  <w:style w:type="character" w:styleId="16">
    <w:name w:val="Strong"/>
    <w:basedOn w:val="15"/>
    <w:qFormat/>
    <w:uiPriority w:val="22"/>
    <w:rPr>
      <w:b/>
      <w:bCs/>
    </w:rPr>
  </w:style>
  <w:style w:type="character" w:styleId="17">
    <w:name w:val="page number"/>
    <w:basedOn w:val="15"/>
    <w:qFormat/>
    <w:uiPriority w:val="0"/>
  </w:style>
  <w:style w:type="paragraph" w:customStyle="1" w:styleId="18">
    <w:name w:val="Default"/>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character" w:customStyle="1" w:styleId="19">
    <w:name w:val="10"/>
    <w:basedOn w:val="15"/>
    <w:qFormat/>
    <w:uiPriority w:val="0"/>
    <w:rPr>
      <w:rFonts w:hint="default" w:ascii="Times New Roman" w:hAnsi="Times New Roman" w:cs="Times New Roman"/>
    </w:rPr>
  </w:style>
  <w:style w:type="paragraph" w:customStyle="1" w:styleId="20">
    <w:name w:val="null3"/>
    <w:hidden/>
    <w:qFormat/>
    <w:uiPriority w:val="0"/>
    <w:rPr>
      <w:rFonts w:hint="eastAsia" w:asciiTheme="minorHAnsi" w:hAnsiTheme="minorHAnsi" w:eastAsiaTheme="minorEastAsia" w:cstheme="minorBidi"/>
      <w:lang w:val="en-US" w:eastAsia="zh-Hans" w:bidi="ar-SA"/>
    </w:rPr>
  </w:style>
  <w:style w:type="character" w:customStyle="1" w:styleId="21">
    <w:name w:val="fontstyle01"/>
    <w:qFormat/>
    <w:uiPriority w:val="0"/>
    <w:rPr>
      <w:rFonts w:hint="eastAsia" w:ascii="宋体" w:hAnsi="宋体" w:eastAsia="宋体" w:cs="Times New Roman"/>
      <w:color w:val="000000"/>
      <w:sz w:val="24"/>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footer" Target="foot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jpe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jpe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jpe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7.xml"/><Relationship Id="rId11" Type="http://schemas.openxmlformats.org/officeDocument/2006/relationships/header" Target="header3.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111</Pages>
  <Words>0</Words>
  <Characters>0</Characters>
  <Lines>0</Lines>
  <Paragraphs>0</Paragraphs>
  <TotalTime>15</TotalTime>
  <ScaleCrop>false</ScaleCrop>
  <LinksUpToDate>false</LinksUpToDate>
  <CharactersWithSpaces>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2026-02-14T03:23:00Z</dcterms:created>
  <dc:creator>Bonze</dc:creator>
  <cp:lastModifiedBy>Bonze</cp:lastModifiedBy>
  <dcterms:modified xsi:type="dcterms:W3CDTF">2026-02-14T03:55:08Z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5B228A2CD74F4B3FB098A8D3D4800A7B_11</vt:lpwstr>
  </property>
</Properties>
</file>